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[I may remark, that the circumstance of</w:t>
        <w:br w:type="textWrapping"/>
        <w:t xml:space="preserve">the Writer using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“apostle”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without scruple, as designating our Lord,</w:t>
        <w:br w:type="textWrapping"/>
        <w:t xml:space="preserve">shew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apostles, as a class,</w:t>
        <w:br w:type="textWrapping"/>
        <w:t xml:space="preserve">were not so distinctly marked as they have</w:t>
        <w:br w:type="textWrapping"/>
        <w:t xml:space="preserve">since been: a view supported also by some</w:t>
        <w:br w:type="textWrapping"/>
        <w:t xml:space="preserve">expressions of St. Paul: e.g. 2 Cor. 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[Christian]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First, a point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our Lord and Moses is</w:t>
        <w:br w:type="textWrapping"/>
        <w:t xml:space="preserve">brought out, and that by a reference to</w:t>
        <w:br w:type="textWrapping"/>
        <w:t xml:space="preserve">an Old Test. declaration respecting the</w:t>
        <w:br w:type="textWrapping"/>
        <w:t xml:space="preserve">latter);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‘was.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present</w:t>
        <w:br w:type="textWrapping"/>
        <w:t xml:space="preserve">sense must be retained here. Then a</w:t>
        <w:br w:type="textWrapping"/>
        <w:t xml:space="preserve">question arises: are we to understand it</w:t>
        <w:br w:type="textWrapping"/>
        <w:t xml:space="preserve">strictly of present time, of Christ now</w:t>
        <w:br w:type="textWrapping"/>
        <w:t xml:space="preserve">in heaven,—or as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cited, of</w:t>
        <w:br w:type="textWrapping"/>
        <w:t xml:space="preserve">general designation? Clearly, I think, of</w:t>
        <w:br w:type="textWrapping"/>
        <w:t xml:space="preserve">the latter: Jesus, whose character it is,</w:t>
        <w:br w:type="textWrapping"/>
        <w:t xml:space="preserve">that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the strict present</w:t>
        <w:br w:type="textWrapping"/>
        <w:t xml:space="preserve">would,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nothing of other objections,</w:t>
        <w:br w:type="textWrapping"/>
        <w:t xml:space="preserve">not apply to the portion of the Lord’s</w:t>
        <w:br w:type="textWrapping"/>
        <w:t xml:space="preserve">office, designated by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only to that comprised under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“High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characterizes faithfulness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inherent attribute)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</w:t>
        <w:br w:type="textWrapping"/>
        <w:t xml:space="preserve">questioned, whether or not this word refers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ack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“faithful High Priest”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ch. 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 is certainly not the</w:t>
        <w:br w:type="textWrapping"/>
        <w:t xml:space="preserve">same: the faithfulness there being the</w:t>
        <w:br w:type="textWrapping"/>
        <w:t xml:space="preserve">fidelity wherewith He, being like His brethren, would, so to speak, reproduce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wants before God;—that here spoken of</w:t>
        <w:br w:type="textWrapping"/>
        <w:t xml:space="preserve">being His faithfulness to God, over whose</w:t>
        <w:br w:type="textWrapping"/>
        <w:t xml:space="preserve">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He is set, ver. 6. 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help thinking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led</w:t>
        <w:br w:type="textWrapping"/>
        <w:t xml:space="preserve">to by, and takes up that other. That</w:t>
        <w:br w:type="textWrapping"/>
        <w:t xml:space="preserve">regarded more the sacerdotal, this 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office of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him that made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we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rend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‘that appointed him.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this</w:t>
        <w:br w:type="textWrapping"/>
        <w:t xml:space="preserve">defended, and citations of the expression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both senses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Fathers, in my Greek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est.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thus taken, is of course to be understood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that constitution of our Lord as our Apostle and High Priest</w:t>
        <w:br w:type="textWrapping"/>
        <w:t xml:space="preserve">in which He, being human, was made by</w:t>
        <w:br w:type="textWrapping"/>
        <w:t xml:space="preserve">the Father: not of Him as the eternal</w:t>
        <w:br w:type="textWrapping"/>
        <w:t xml:space="preserve">Word, which would be irrelevant here,</w:t>
        <w:br w:type="textWrapping"/>
        <w:t xml:space="preserve">besides being against all Scripture pre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cedent),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 take another</w:t>
        <w:br w:type="textWrapping"/>
        <w:t xml:space="preserve">instance of faithfulness: thus, with every</w:t>
        <w:br w:type="textWrapping"/>
        <w:t xml:space="preserve">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umstance of honour, is Moses introduced, before any disparagement of him</w:t>
        <w:br w:type="textWrapping"/>
        <w:t xml:space="preserve">is entered upon)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 in all his</w:t>
        <w:br w:type="textWrapping"/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(cited from Numbers in the references,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“My servant Moses is not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who</w:t>
        <w:br w:type="textWrapping"/>
        <w:t xml:space="preserve">is faithful in all mine house.”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1) It may</w:t>
        <w:br w:type="textWrapping"/>
        <w:t xml:space="preserve">be well to remark, that the substitution of</w:t>
        <w:br w:type="textWrapping"/>
        <w:t xml:space="preserve">his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once indicates to whom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referred: viz. to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  <w:br w:type="textWrapping"/>
        <w:t xml:space="preserve">made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also below on ver. 6. And</w:t>
        <w:br w:type="textWrapping"/>
        <w:t xml:space="preserve">so most ancient and modern Commentators.</w:t>
        <w:br w:type="textWrapping"/>
        <w:t xml:space="preserve">2) The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mstance of the quotation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far more natural to refer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</w:t>
        <w:br w:type="textWrapping"/>
        <w:t xml:space="preserve">His house”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Moses directly, and not to</w:t>
        <w:br w:type="textWrapping"/>
        <w:t xml:space="preserve">Christ, as some do, putting a comma 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3)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llipsis is to be filled up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“was faithful”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Moses,”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</w:t>
        <w:br w:type="textWrapping"/>
        <w:t xml:space="preserve">the place cited, and as in A.V. 4) The</w:t>
        <w:br w:type="textWrapping"/>
        <w:t xml:space="preserve">signification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house”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well illustrated by 1 Tim. iii. 15,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house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 which is the church of the living</w:t>
        <w:br w:type="textWrapping"/>
        <w:t xml:space="preserve">God.”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imports the Church of God:</w:t>
        <w:br w:type="textWrapping"/>
        <w:t xml:space="preserve">and is one and the same here and in</w:t>
        <w:br w:type="textWrapping"/>
        <w:t xml:space="preserve">ver. 6; not two different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ses, but</w:t>
        <w:br w:type="textWrapping"/>
        <w:t xml:space="preserve">the same, in the case of Moses taken at</w:t>
        <w:br w:type="textWrapping"/>
        <w:t xml:space="preserve">one time only,—in that of Christ, in its</w:t>
        <w:br w:type="textWrapping"/>
        <w:t xml:space="preserve">whole existence and development).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best connected, as commonly,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“consider”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above: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containing the reason why our attention</w:t>
        <w:br w:type="textWrapping"/>
        <w:t xml:space="preserve">should be thus fixed on Jesus: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</w:t>
        <w:br w:type="textWrapping"/>
        <w:t xml:space="preserve">He has the quality of faithfulness in God's</w:t>
        <w:br w:type="textWrapping"/>
        <w:t xml:space="preserve">house in common with Moses, yet is He far</w:t>
        <w:br w:type="textWrapping"/>
        <w:t xml:space="preserve">more exalted and glorio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than 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(better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 man”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A. V., which brings in an element not present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been held worthy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includes, with the idea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worthy,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also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bestowal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dignity. It refers to the honour and</w:t>
        <w:br w:type="textWrapping"/>
        <w:t xml:space="preserve">glory wherewith God hath crowned Christ,</w:t>
        <w:br w:type="textWrapping"/>
        <w:t xml:space="preserve">in His exaltation to His right Hand;</w:t>
        <w:br w:type="textWrapping"/>
        <w:t xml:space="preserve">which is taken for granted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further</w:t>
        <w:br w:type="textWrapping"/>
        <w:t xml:space="preserve">explanation, as a fact well known to the</w:t>
        <w:br w:type="textWrapping"/>
        <w:t xml:space="preserve">readers)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more glory than Moses, inasmuch as he hath more honour than the</w:t>
        <w:br w:type="textWrapping"/>
        <w:t xml:space="preserve">house, who established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establishing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meant refers beyond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ck6QX/epc/Ht7npYYgX9h2zgAw==">CgMxLjA4AHIhMUc5NEFKQjc0dzdFdkFjTWk3Y3R2ZVRqMV9ZdEdxUkZz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