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doubt primarily to the erection of an actual</w:t>
        <w:br w:type="textWrapping"/>
        <w:t xml:space="preserve">house. The word is so used, of the preparation of a building,—a house, or temple,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ship, or town,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.—In almost all the</w:t>
        <w:br w:type="textWrapping"/>
        <w:t xml:space="preserve">places where it occurs (see my Greek Test.)</w:t>
        <w:br w:type="textWrapping"/>
        <w:t xml:space="preserve">the verb may be so taken as to include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the erection of the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ilding, ship, &amp;c.,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also the fitting up, providing with proper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rniture. And here also we may say, that</w:t>
        <w:br w:type="textWrapping"/>
        <w:t xml:space="preserve">it means more than the building of the</w:t>
        <w:br w:type="textWrapping"/>
        <w:t xml:space="preserve">house, and includes, besides the building of</w:t>
        <w:br w:type="textWrapping"/>
        <w:t xml:space="preserve">the house, the fitting it up and providing</w:t>
        <w:br w:type="textWrapping"/>
        <w:t xml:space="preserve">it with all requisites. So that to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establishment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house belong servants,</w:t>
        <w:br w:type="textWrapping"/>
        <w:t xml:space="preserve">male and female; and so here we may say</w:t>
        <w:br w:type="textWrapping"/>
        <w:t xml:space="preserve">that the servants of the house are included.</w:t>
        <w:br w:type="textWrapping"/>
        <w:t xml:space="preserve">The sense then is this: just as he who has</w:t>
        <w:br w:type="textWrapping"/>
        <w:t xml:space="preserve">built and furnished a house,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himself</w:t>
        <w:br w:type="textWrapping"/>
        <w:t xml:space="preserve">namely, as master of the house,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stands</w:t>
        <w:br w:type="textWrapping"/>
        <w:t xml:space="preserve">higher in honour than the house itself and</w:t>
        <w:br w:type="textWrapping"/>
        <w:t xml:space="preserve">the individual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Christ</w:t>
        <w:br w:type="textWrapping"/>
        <w:t xml:space="preserve">higher than Moses: and Christ is thus</w:t>
        <w:br w:type="textWrapping"/>
        <w:t xml:space="preserve">represented as he who has prepared the</w:t>
        <w:br w:type="textWrapping"/>
        <w:t xml:space="preserve">house of God [and therefore as its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</w:t>
        <w:br w:type="textWrapping"/>
        <w:t xml:space="preserve">whom Moses also belongs as an individual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(expansion and justification of the last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house is</w:t>
        <w:br w:type="textWrapping"/>
        <w:t xml:space="preserve">established by some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belongs to</w:t>
        <w:br w:type="textWrapping"/>
        <w:t xml:space="preserve">the idea of a 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that some one should</w:t>
        <w:br w:type="textWrapping"/>
        <w:t xml:space="preserve">have built and fitted it up: arrangement </w:t>
        <w:br w:type="textWrapping"/>
        <w:t xml:space="preserve">implies an arranger, design a designer);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as passing from the individual to the general)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which established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 is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(before treating of the</w:t>
        <w:br w:type="textWrapping"/>
        <w:t xml:space="preserve">misunderstanding of this verse by the</w:t>
        <w:br w:type="textWrapping"/>
        <w:t xml:space="preserve">fathers, and by many of the moderns, let</w:t>
        <w:br w:type="textWrapping"/>
        <w:t xml:space="preserve">us endeavour to grasp its true meaning.</w:t>
        <w:br w:type="textWrapping"/>
        <w:t xml:space="preserve">The last verse brings before us Christ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establisher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house of God. And</w:t>
        <w:br w:type="textWrapping"/>
        <w:t xml:space="preserve">this He is, in whatever sense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“house”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taken: whether in the narrower</w:t>
        <w:br w:type="textWrapping"/>
        <w:t xml:space="preserve">sense which best suits this present comparison, or in the wider sense implied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faithful centurion in Matt. viii. 9, in</w:t>
        <w:br w:type="textWrapping"/>
        <w:t xml:space="preserve">which all natural powers are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he is this, not by independent will or</w:t>
        <w:br w:type="textWrapping"/>
        <w:t xml:space="preserve">agency.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whom also He made the</w:t>
        <w:br w:type="textWrapping"/>
        <w:t xml:space="preserve">worlds,”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our Writer’s own language of</w:t>
        <w:br w:type="textWrapping"/>
        <w:t xml:space="preserve">the creation by Christ: and it is in accord</w:t>
        <w:br w:type="textWrapping"/>
        <w:t xml:space="preserve">with that of St. John, where he says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  <w:br w:type="textWrapping"/>
        <w:t xml:space="preserve">things were made by Him.”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the</w:t>
        <w:br w:type="textWrapping"/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He that established the house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church, or the world, or the</w:t>
        <w:br w:type="textWrapping"/>
        <w:t xml:space="preserve">universe; but, apparently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ompare ver.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former of these: but it is as one with—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virt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his Sonship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who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Establisher of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God. And</w:t>
        <w:br w:type="textWrapping"/>
        <w:t xml:space="preserve">thus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twi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repeated in vv. 5, 6,</w:t>
        <w:br w:type="textWrapping"/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lls into its own place as belonging both</w:t>
        <w:br w:type="textWrapping"/>
        <w:t xml:space="preserve">times to God: Moses is His servant, part</w:t>
        <w:br w:type="textWrapping"/>
        <w:t xml:space="preserve">and portion of His hous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hold: Christ is</w:t>
        <w:br w:type="textWrapping"/>
        <w:t xml:space="preserve">His Son, over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ousehold. And by this</w:t>
        <w:br w:type="textWrapping"/>
        <w:t xml:space="preserve">reference to God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Establisher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is the expression above,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“him that made</w:t>
        <w:br w:type="textWrapping"/>
        <w:t xml:space="preserve">him,”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ustrated and justified. So that</w:t>
        <w:br w:type="textWrapping"/>
        <w:t xml:space="preserve">this verse is not parenthetic, as almost all</w:t>
        <w:br w:type="textWrapping"/>
        <w:t xml:space="preserve">the recent expositors make it,—but 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 part of the argument.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ancient expositors, almost without exception, take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“God”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predicate,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established all things”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designation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“now He that founded all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things,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[must be]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God:”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making</w:t>
        <w:br w:type="textWrapping"/>
        <w:t xml:space="preserve">the passage a proof of the deity of Christ.</w:t>
        <w:br w:type="textWrapping"/>
        <w:t xml:space="preserve">But, apart from the extreme harshness and </w:t>
        <w:br w:type="textWrapping"/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of the construction to bring out</w:t>
        <w:br w:type="textWrapping"/>
        <w:t xml:space="preserve">this meaning, the sentiment itself is entirely</w:t>
        <w:br w:type="textWrapping"/>
        <w:t xml:space="preserve">irrelevant here. If the Writer was proving</w:t>
        <w:br w:type="textWrapping"/>
        <w:t xml:space="preserve">Christ to be greater than Moses inasmuch</w:t>
        <w:br w:type="textWrapping"/>
        <w:t xml:space="preserve">as He is God, the founder of all things,</w:t>
        <w:br w:type="textWrapping"/>
        <w:t xml:space="preserve">then clearly the mere assertion of this fact.</w:t>
        <w:br w:type="textWrapping"/>
        <w:t xml:space="preserve">would have sufficed for the proof, without</w:t>
        <w:br w:type="textWrapping"/>
        <w:t xml:space="preserve">entering on another consideration</w:t>
        <w:br w:type="textWrapping"/>
        <w:t xml:space="preserve">after such an assertion, all minor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nsiderations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have been not only superfluous,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preposterous. He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however, after</w:t>
        <w:br w:type="textWrapping"/>
        <w:t xml:space="preserve">this, distinctly go into the consideration of</w:t>
        <w:br w:type="textWrapping"/>
        <w:t xml:space="preserve">Christ being faithf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not as a servant but</w:t>
        <w:br w:type="textWrapping"/>
        <w:t xml:space="preserve">as a son: so that he cannot be here speaking</w:t>
        <w:br w:type="textWrapping"/>
        <w:t xml:space="preserve">of His Deity as a ground of superiority).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argument proceeds, resuming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common ground of ver. 2.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Moses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(inasmuch 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following has the effect of bringing out, and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emphasizing,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may almost be treated as a particle of disp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ragement)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 in all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God’s, compare above the words of the citation, on ver. 2. It is necessary in the English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mark this reference, which otherw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be missed)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house, as a 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(compare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above;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LOt2LxVJjNZbPgvDJQYOk/7/pw==">CgMxLjA4AHIhMUd4MlEwejd3ZEJqUFRvVWNoMEZvbTE0QlgzYnBJaVJY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