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 finished, as in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3,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 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31, ii. 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“harden not your hearts,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 understanding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freely,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wherefore let it be</w:t>
        <w:br w:type="textWrapping"/>
        <w:t xml:space="preserve">so with you, as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the best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is, to take the whole citation, including the formula of citation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</w:t>
        <w:br w:type="textWrapping"/>
        <w:t xml:space="preserve">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enthesis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join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</w:t>
        <w:br w:type="textWrapping"/>
        <w:t xml:space="preserve">heed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12. The length of such parenthesis is no objection to this view: see ch. vii. 20–22; xii.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24, where the Writer,</w:t>
        <w:br w:type="textWrapping"/>
        <w:t xml:space="preserve">after similar parentheses, returns back</w:t>
        <w:br w:type="textWrapping"/>
        <w:t xml:space="preserve">into the previous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it any objection, that in the midst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citation, another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“wherefore”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occurs, ver. 10: for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“wherefore”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belongs strictly to the citation, and finds both its preparation and its resulting clause within its</w:t>
        <w:br w:type="textWrapping"/>
        <w:t xml:space="preserve">limits),—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as the Holy Spirit saith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(in Ps. xcv., Hebrew and English. This</w:t>
        <w:br w:type="textWrapping"/>
        <w:t xml:space="preserve">Psalm in the Hebrew has no writer’s name:</w:t>
        <w:br w:type="textWrapping"/>
        <w:t xml:space="preserve">in the Septuagint it is headed,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 psalm</w:t>
        <w:br w:type="textWrapping"/>
        <w:t xml:space="preserve">of praise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David.”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it is</w:t>
        <w:br w:type="textWrapping"/>
        <w:t xml:space="preserve">ascribed to David in ch. iv. 7 below. The</w:t>
        <w:br w:type="textWrapping"/>
        <w:t xml:space="preserve">passage is cited as the direct testimony of</w:t>
        <w:br w:type="textWrapping"/>
        <w:t xml:space="preserve">the Holy Spirit, speaking through David),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To-day if ye hear his voice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‘the Psalm,</w:t>
        <w:br w:type="textWrapping"/>
        <w:t xml:space="preserve">according to the Hebrew, the words corresponding to these, the second half of the 7th verse, form an independent sentence,</w:t>
        <w:br w:type="textWrapping"/>
        <w:t xml:space="preserve">to be taken as a powerful exhortation</w:t>
        <w:br w:type="textWrapping"/>
        <w:t xml:space="preserve">expressed in the form of a wish. The sense</w:t>
        <w:br w:type="textWrapping"/>
        <w:t xml:space="preserve">from ver. 6 is,—‘Come let us fall down</w:t>
        <w:br w:type="textWrapping"/>
        <w:t xml:space="preserve">and bow ourselves, kneel before Jehovah</w:t>
        <w:br w:type="textWrapping"/>
        <w:t xml:space="preserve">our Creator. For He is our God, and we</w:t>
        <w:br w:type="textWrapping"/>
        <w:t xml:space="preserve">the people of his pasture and the flock of</w:t>
        <w:br w:type="textWrapping"/>
        <w:t xml:space="preserve">his hand.’ Then this sentence follows:</w:t>
        <w:br w:type="textWrapping"/>
        <w:t xml:space="preserve">‘O that ye might this day hearken to His</w:t>
        <w:br w:type="textWrapping"/>
        <w:t xml:space="preserve">voice!’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“This day”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stands first, with</w:t>
        <w:br w:type="textWrapping"/>
        <w:t xml:space="preserve">strong emphasis, in contrast to the whole</w:t>
        <w:br w:type="textWrapping"/>
        <w:t xml:space="preserve">past time, during which they had shewn</w:t>
        <w:br w:type="textWrapping"/>
        <w:t xml:space="preserve">themselves disobedient and rebellious against</w:t>
        <w:br w:type="textWrapping"/>
        <w:t xml:space="preserve">the divine voice, as e.g. during the journey</w:t>
        <w:br w:type="textWrapping"/>
        <w:t xml:space="preserve">through the wilderness, alluded to in the</w:t>
        <w:br w:type="textWrapping"/>
        <w:t xml:space="preserve">following verses: ‘to-day’ therefore means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‘now,’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‘now at length.’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Then in the following verses, to the end of the Psalm, is introduced, that which the divine voice,</w:t>
        <w:br w:type="textWrapping"/>
        <w:t xml:space="preserve">which they are to hear, addresses to them.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To-day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thus refer to the day in which</w:t>
        <w:br w:type="textWrapping"/>
        <w:t xml:space="preserve">the Psalm was used in public worship,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whenever that might be.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harden not your 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(Hebrew,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remarks, that this is the only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this 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 harden the heart,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[in the original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ebrew text: the A.V.</w:t>
        <w:br w:type="textWrapping"/>
        <w:t xml:space="preserve">is inac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urate in Exod. 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15, 32, 1 Sam.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6, where the expression is,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make heavy or dull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 act: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elsewhere it is always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God's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compare</w:t>
        <w:br w:type="textWrapping"/>
        <w:t xml:space="preserve">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iv. 21; vii. 20,27; xi. 10; xiv. 4, 17; Isa. lxiii. 17;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Deut. ii. 30; whereas when</w:t>
        <w:br w:type="textWrapping"/>
        <w:t xml:space="preserve">the hardening is described us the work</w:t>
        <w:br w:type="textWrapping"/>
        <w:t xml:space="preserve">of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the formula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“to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iffen the neck”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sed, Deut. x. 16; Neh. ix. 17, 29;</w:t>
        <w:br w:type="textWrapping"/>
        <w:t xml:space="preserve">2 Chron. xxx.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xxxvi.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vii. 26;</w:t>
        <w:br w:type="textWrapping"/>
        <w:t xml:space="preserve">2 Kings xvii.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New Test. usage</w:t>
        <w:br w:type="textWrapping"/>
        <w:t xml:space="preserve">see Acts xix. 9; Rom. ix.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in the</w:t>
        <w:br w:type="textWrapping"/>
        <w:t xml:space="preserve">provocation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Hebrew has,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Meriba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Exod. xvii.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we read</w:t>
        <w:br w:type="textWrapping"/>
        <w:t xml:space="preserve">that the place where the children of Israel</w:t>
        <w:br w:type="textWrapping"/>
        <w:t xml:space="preserve">murmured against the Lord for want of</w:t>
        <w:br w:type="textWrapping"/>
        <w:t xml:space="preserve">water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lled Massah and Meribab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the subsequent account of Numb. xx.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13,</w:t>
        <w:br w:type="textWrapping"/>
        <w:t xml:space="preserve">makes it plain that the two names refer to</w:t>
        <w:br w:type="textWrapping"/>
        <w:t xml:space="preserve">two different events and places: and this</w:t>
        <w:br w:type="textWrapping"/>
        <w:t xml:space="preserve">is further confirmed by Deut. xxxiii. 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“Thy holy One whom thou didst prove at </w:t>
        <w:br w:type="textWrapping"/>
        <w:t xml:space="preserve">Massah, and with whom thou didst strive</w:t>
        <w:br w:type="textWrapping"/>
        <w:t xml:space="preserve">at the waters of Meribah.” In the Psalm</w:t>
        <w:br w:type="textWrapping"/>
        <w:t xml:space="preserve">these two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together, and the</w:t>
        <w:br w:type="textWrapping"/>
        <w:t xml:space="preserve">Septuagint as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ranslate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giving, for the proper names, their</w:t>
        <w:br w:type="textWrapping"/>
        <w:t xml:space="preserve">meaning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occasion, they have in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cast light upon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 text; though it</w:t>
        <w:br w:type="textWrapping"/>
        <w:t xml:space="preserve">is rather comment than strict translation),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time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Hebr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this second</w:t>
        <w:br w:type="textWrapping"/>
        <w:t xml:space="preserve">clause is distinct from the first, and introduces a fresh instance: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 of the temptation in the wilderness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ebrew,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in the day of Massah in the</w:t>
        <w:br w:type="textWrapping"/>
        <w:t xml:space="preserve">wilderness:”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the second murmuring against Moses and Aaron for want of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Numb. xx,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13. The</w:t>
        <w:br w:type="textWrapping"/>
        <w:t xml:space="preserve">pla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was in the wilderness of Sin, near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esh: ib.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your fathers</w:t>
        <w:br w:type="textWrapping"/>
        <w:t xml:space="preserve">tempted, by way of trial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rying,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‘proving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saw</w:t>
        <w:br w:type="textWrapping"/>
        <w:t xml:space="preserve">my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(Hebrew,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“moreover they saw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work”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my penal judgments; for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fTFvOMxG8k2vk9Ao2JE8Ho4Xtg==">CgMxLjA4AHIhMS1zQlhlZlRhSU9md2czc3BNUFQ0b2dycC1NSU44NndH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