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penal 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dgments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asted during the</w:t>
        <w:br w:type="textWrapping"/>
        <w:t xml:space="preserve">forty years, and it is they which are 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scribed in the next sentence.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meaning given by most expositors,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“although</w:t>
        <w:br w:type="textWrapping"/>
        <w:t xml:space="preserve">they saw my works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[miracles of deliverance,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forty years,”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so</w:t>
        <w:br w:type="textWrapping"/>
        <w:t xml:space="preserve">likely, seeing that these provocations</w:t>
        <w:br w:type="textWrapping"/>
        <w:t xml:space="preserve">happened at the beginning of the forty</w:t>
        <w:br w:type="textWrapping"/>
        <w:t xml:space="preserve">years.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see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forty years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(these</w:t>
        <w:br w:type="textWrapping"/>
        <w:t xml:space="preserve">words in the Hebrew most probably belong,</w:t>
        <w:br w:type="textWrapping"/>
        <w:t xml:space="preserve">as rendered in our A. V., to what follows: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grieved with this generation forty</w:t>
        <w:br w:type="textWrapping"/>
        <w:t xml:space="preserve">years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 arrangement rendered impossible here, on account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intervening.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that such arrangement,</w:t>
        <w:br w:type="textWrapping"/>
        <w:t xml:space="preserve">was not unknown to our Writer is plain,</w:t>
        <w:br w:type="textWrapping"/>
        <w:t xml:space="preserve">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presently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ying, ver. 17,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whom was he grieved forty years?”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therefore likely that he did not choose</w:t>
        <w:br w:type="textWrapping"/>
        <w:t xml:space="preserve">this arrangement without reason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if</w:t>
        <w:br w:type="textWrapping"/>
        <w:t xml:space="preserve">we ask what that reason was, we find an</w:t>
        <w:br w:type="textWrapping"/>
        <w:t xml:space="preserve">answer in the probability that the forty</w:t>
        <w:br w:type="textWrapping"/>
        <w:t xml:space="preserve">years’ space is taken as representing to</w:t>
        <w:br w:type="textWrapping"/>
        <w:t xml:space="preserve">the Hebrews their space for repentance;</w:t>
        <w:br w:type="textWrapping"/>
        <w:t xml:space="preserve">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“to-day”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between the opening of</w:t>
        <w:br w:type="textWrapping"/>
        <w:t xml:space="preserve">the preaching of the gospel [compare</w:t>
        <w:br w:type="textWrapping"/>
        <w:t xml:space="preserve">ch. ii.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their impending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destruction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This idea was recognized by the Jews themselves in their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ooks: “How long endure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years of the Messiah? Rabbi Eliezer</w:t>
        <w:br w:type="textWrapping"/>
        <w:t xml:space="preserve">said, forty years, in like 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 as the</w:t>
        <w:br w:type="textWrapping"/>
        <w:t xml:space="preserve">children of Israel were this number of</w:t>
        <w:br w:type="textWrapping"/>
        <w:t xml:space="preserve">years in the wilderness.” “And if,” says</w:t>
        <w:br w:type="textWrapping"/>
        <w:t xml:space="preserve">Bleek, “this idea of the days of the</w:t>
        <w:br w:type="textWrapping"/>
        <w:t xml:space="preserve">Messiah was prevalent, that they were the</w:t>
        <w:br w:type="textWrapping"/>
        <w:t xml:space="preserve">immediate precursors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‘age to</w:t>
        <w:br w:type="textWrapping"/>
        <w:t xml:space="preserve">come,’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the time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the great Sabbath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rest and the completed glory of the people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God,—this is something very analogo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  <w:br w:type="textWrapping"/>
        <w:t xml:space="preserve">to the acceptation of the period of the</w:t>
        <w:br w:type="textWrapping"/>
        <w:t xml:space="preserve">forty years which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ms to underlie what</w:t>
        <w:br w:type="textWrapping"/>
        <w:t xml:space="preserve">is said of them in our Epistle.” If so,</w:t>
        <w:br w:type="textWrapping"/>
        <w:t xml:space="preserve">it is possible that the meaning may be,</w:t>
        <w:br w:type="textWrapping"/>
        <w:t xml:space="preserve">that they saw My wonderful works and</w:t>
        <w:br w:type="textWrapping"/>
        <w:t xml:space="preserve">took no heed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them, and thereby increased their guilt).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10.] Wherefore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above: it is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erted, to mark more</w:t>
        <w:br w:type="textWrapping"/>
        <w:t xml:space="preserve">strongly the reference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forty years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the preceding.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is impossible, with</w:t>
        <w:br w:type="textWrapping"/>
        <w:t xml:space="preserve">this particle of inference, to join those</w:t>
        <w:br w:type="textWrapping"/>
        <w:t xml:space="preserve">words to this sentence. Instead of being</w:t>
        <w:br w:type="textWrapping"/>
        <w:t xml:space="preserve">anxious, as some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Commentators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are, at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expense of the meaning of words, to put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 citations straight to the letter, it is</w:t>
        <w:br w:type="textWrapping"/>
        <w:t xml:space="preserve">far better to recognize at once the truth,</w:t>
        <w:br w:type="textWrapping"/>
        <w:t xml:space="preserve">for such it is, which Calvin here so boldly</w:t>
        <w:br w:type="textWrapping"/>
        <w:t xml:space="preserve">states: “We know that the Apostles, in</w:t>
        <w:br w:type="textWrapping"/>
        <w:t xml:space="preserve">citing testimonies, are more attentive to</w:t>
        <w:br w:type="textWrapping"/>
        <w:t xml:space="preserve">the main subject, than anxious about</w:t>
        <w:br w:type="textWrapping"/>
        <w:t xml:space="preserve">words”)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was offended with this generation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Septuagint has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generation,” as the received text here:</w:t>
        <w:br w:type="textWrapping"/>
        <w:t xml:space="preserve">there is no demonstrative in the original</w:t>
        <w:br w:type="textWrapping"/>
        <w:t xml:space="preserve">Hebrew,—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generation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change</w:t>
        <w:br w:type="textWrapping"/>
        <w:t xml:space="preserve">seems to be made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our Writer for a set</w:t>
        <w:br w:type="textWrapping"/>
        <w:t xml:space="preserve">purpose, viz., to extend the saying, by</w:t>
        <w:br w:type="textWrapping"/>
        <w:t xml:space="preserve">making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“generation”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thus import the</w:t>
        <w:br w:type="textWrapping"/>
        <w:t xml:space="preserve">whole Jewish people,—the then living</w:t>
        <w:br w:type="textWrapping"/>
        <w:t xml:space="preserve">race, as well as that which provoked God</w:t>
        <w:br w:type="textWrapping"/>
        <w:t xml:space="preserve">in the wilderness. Compare Matt. xxiv. 34,</w:t>
        <w:br w:type="textWrapping"/>
        <w:t xml:space="preserve">and note),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said, They do alway err</w:t>
        <w:br w:type="textWrapping"/>
        <w:t xml:space="preserve">in their heart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(Hebrew,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“They are a</w:t>
        <w:br w:type="textWrapping"/>
        <w:t xml:space="preserve">people of wanderers in heart”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(in Hebrew, merely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“and they”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knew</w:t>
        <w:br w:type="textWrapping"/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never knew: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their ignorance preceded their wandering, and is treated as</w:t>
        <w:br w:type="textWrapping"/>
        <w:t xml:space="preserve">the antecedent fact to it.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k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owing,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where matters of practical religion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concerned, implies the not following)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ways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(i.e., the ways which I would</w:t>
        <w:br w:type="textWrapping"/>
        <w:t xml:space="preserve">have them to walk in: so Gen. vi 12;</w:t>
        <w:br w:type="textWrapping"/>
        <w:t xml:space="preserve">Exod. xviii. 20).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according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(“in conformity with the fact, that: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such conformity not necessarily implying that the</w:t>
        <w:br w:type="textWrapping"/>
        <w:t xml:space="preserve">excluding oath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disobedience, but only that the oath and the</w:t>
        <w:br w:type="textWrapping"/>
        <w:t xml:space="preserve">disobedience were strict correlatives of one</w:t>
        <w:br w:type="textWrapping"/>
        <w:t xml:space="preserve">another. As the one, so was the other)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sware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Numb. xiv. 21 ff.; xxxii. 10</w:t>
        <w:br w:type="textWrapping"/>
        <w:t xml:space="preserve">ff.; Deut. i. 34 ff.)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my wrath, If they</w:t>
        <w:br w:type="textWrapping"/>
        <w:t xml:space="preserve">shall enter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 literally: this elliptical</w:t>
        <w:br w:type="textWrapping"/>
        <w:t xml:space="preserve">form of an oath stands for a strong neg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tive: it is sometimes, when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speaker, filled up by “The Lord do so to me</w:t>
        <w:br w:type="textWrapping"/>
        <w:t xml:space="preserve">and more also, if...” Compare reference</w:t>
        <w:br w:type="textWrapping"/>
        <w:t xml:space="preserve">Mark ; 2 Sam. iii. 35, and other places. It</w:t>
        <w:br w:type="textWrapping"/>
        <w:t xml:space="preserve">is interpreted below, ver. 18: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“to whom</w:t>
        <w:br w:type="textWrapping"/>
        <w:t xml:space="preserve">sware he that they should not enter,”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into my rest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the Psal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in the</w:t>
        <w:br w:type="textWrapping"/>
        <w:t xml:space="preserve">places referred to above,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is, primarily, the promised land of Can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an.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Deut. xii. 9,10, the words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“rest”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giving you rest”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used of the promised</w:t>
        <w:br w:type="textWrapping"/>
        <w:t xml:space="preserve">inheritance of Canaan. But it has been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wnhcVWXAm7ycrraLjwTlaYpnQA==">CgMxLjA4AHIhMVZZcGZKeGRSNDRZSUpSWS1PZjhrTUN3MUlmckhQalZI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