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half of this 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substantiates the expression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“being still</w:t>
        <w:br w:type="textWrapping"/>
        <w:t xml:space="preserve">left”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last verse. The stress is not,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well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but lies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</w:t>
        <w:br w:type="textWrapping"/>
        <w:t xml:space="preserve">good tidings been preached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includes both us and them.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good tidings have been also announced to us,</w:t>
        <w:br w:type="textWrapping"/>
        <w:t xml:space="preserve">as likewise 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(they were not the</w:t>
        <w:br w:type="textWrapping"/>
        <w:t xml:space="preserve">same good tidings in the two cases: but</w:t>
        <w:br w:type="textWrapping"/>
        <w:t xml:space="preserve">the Writer treats them as the same. To</w:t>
        <w:br w:type="textWrapping"/>
        <w:t xml:space="preserve">them indeed it was primarily the inheritance of the land of promise: but even</w:t>
        <w:br w:type="textWrapping"/>
        <w:t xml:space="preserve">then, as proved below, 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rest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had a farther meaning, which meaning</w:t>
        <w:br w:type="textWrapping"/>
        <w:t xml:space="preserve">reaches even down to us):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nevertheless</w:t>
        <w:br w:type="textWrapping"/>
        <w:t xml:space="preserve">the word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genitive of apposition; the word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commensurate 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[consisting in]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which they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 not profit them, unmingled as they</w:t>
        <w:br w:type="textWrapping"/>
        <w:t xml:space="preserve">were in faith with its hearers.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passage is almost a desperate one. I have</w:t>
        <w:br w:type="textWrapping"/>
        <w:t xml:space="preserve">discussed it, in its various readings and</w:t>
        <w:br w:type="textWrapping"/>
        <w:t xml:space="preserve">meanings, in my Greek Test., and, deem-</w:t>
        <w:br w:type="textWrapping"/>
        <w:t xml:space="preserve">ing it necessary to adopt the reading followed in the text, have found this meaning,—“And so these men received no benefit</w:t>
        <w:br w:type="textWrapping"/>
        <w:t xml:space="preserve">from ‘the word of hearing,’ because they</w:t>
        <w:br w:type="textWrapping"/>
        <w:t xml:space="preserve">were not one in faith with its hearers; did</w:t>
        <w:br w:type="textWrapping"/>
        <w:t xml:space="preserve">not correspond, in their method of receiving it, with faithful hearers, whom it does profit.” I have stated that this interpretation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 not satisfy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it seems the only escape from violation either of the</w:t>
        <w:br w:type="textWrapping"/>
        <w:t xml:space="preserve">rules of criticism or of those of grammar:</w:t>
        <w:br w:type="textWrapping"/>
        <w:t xml:space="preserve">and therefore I am constrained to accept it</w:t>
        <w:br w:type="textWrapping"/>
        <w:t xml:space="preserve">until some better is suggested.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(taking up again 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do enter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(are to enter. Some Commentators have seen a communicative and</w:t>
        <w:br w:type="textWrapping"/>
        <w:t xml:space="preserve">conciliatory tone in the first person here. But Bleek and Lünemann well remark that it is not so; for the fact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brings out a class distinct from the rest, as</w:t>
        <w:br w:type="textWrapping"/>
        <w:t xml:space="preserve">in ch. vi. 18, xii. 25)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(aforesaid)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only, as A.V.,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“into rest,”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abstract),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who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tense is anticipatory, the standing-point being, the day</w:t>
        <w:br w:type="textWrapping"/>
        <w:t xml:space="preserve">of entering into the rest. It was unbelief</w:t>
        <w:br w:type="textWrapping"/>
        <w:t xml:space="preserve">which excluded them: the promise still remains unfulfilled, see below: they who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time of its fulfilment shall be found to</w:t>
        <w:br w:type="textWrapping"/>
        <w:t xml:space="preserve">have believed, shall enter into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</w:t>
        <w:br w:type="textWrapping"/>
        <w:t xml:space="preserve">He hath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citation evidently does</w:t>
        <w:br w:type="textWrapping"/>
        <w:t xml:space="preserve">not refer to the whole of what has just</w:t>
        <w:br w:type="textWrapping"/>
        <w:t xml:space="preserve">been said, but only to the fact, that the</w:t>
        <w:br w:type="textWrapping"/>
        <w:t xml:space="preserve">rest has not yet been entered into in the</w:t>
        <w:br w:type="textWrapping"/>
        <w:t xml:space="preserve">sense of the promise. The condition,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yet: brought into treatment,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follows below in ver. 11 in hortatory</w:t>
        <w:br w:type="textWrapping"/>
        <w:t xml:space="preserve">form, having in fact been demonstrated</w:t>
        <w:br w:type="textWrapping"/>
        <w:t xml:space="preserve">already in ch. iii.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sware in</w:t>
        <w:br w:type="textWrapping"/>
        <w:t xml:space="preserve">my wrath,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iii. 11)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shall enter into my rest: although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context is much disputed. I believe</w:t>
        <w:br w:type="textWrapping"/>
        <w:t xml:space="preserve">it will be best taken thus: the Writer is</w:t>
        <w:br w:type="textWrapping"/>
        <w:t xml:space="preserve">leading on to the inference, that the entering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thing YET FUTURE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God’s people. And this he thus brings</w:t>
        <w:br w:type="textWrapping"/>
        <w:t xml:space="preserve">about.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 rest”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 thing future</w:t>
        <w:br w:type="textWrapping"/>
        <w:t xml:space="preserve">for God:—He has already entered therein,</w:t>
        <w:br w:type="textWrapping"/>
        <w:t xml:space="preserve">—ver.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[ver.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again,</w:t>
        <w:br w:type="textWrapping"/>
        <w:t xml:space="preserve">after God had thus entered in, the oath,</w:t>
        <w:br w:type="textWrapping"/>
        <w:t xml:space="preserve">They shall not, &amp;c. Consequently, since</w:t>
        <w:br w:type="textWrapping"/>
        <w:t xml:space="preserve">[ver. 6] it remains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enter</w:t>
        <w:br w:type="textWrapping"/>
        <w:t xml:space="preserve">in, and they to whom it was first promised</w:t>
        <w:br w:type="textWrapping"/>
        <w:t xml:space="preserve">did not, on account of unbelief,—for that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[i.e. none of them did], is</w:t>
        <w:br w:type="textWrapping"/>
        <w:t xml:space="preserve">plain by His repeating in David, after the</w:t>
        <w:br w:type="textWrapping"/>
        <w:t xml:space="preserve">lapse of so many centuries, the same warn-</w:t>
        <w:br w:type="textWrapping"/>
        <w:t xml:space="preserve">ing again [ver. 7], which He would not</w:t>
        <w:br w:type="textWrapping"/>
        <w:t xml:space="preserve">have done if Joshua had led Israel into</w:t>
        <w:br w:type="textWrapping"/>
        <w:t xml:space="preserve">that rest [ver. 8]:—since this is so, the</w:t>
        <w:br w:type="textWrapping"/>
        <w:t xml:space="preserve">sabbatism of God’s people is YET FUTURE</w:t>
        <w:br w:type="textWrapping"/>
        <w:t xml:space="preserve">[ver. 9], and reserved for that time when</w:t>
        <w:br w:type="textWrapping"/>
        <w:t xml:space="preserve">they shall rest from their labours, as God</w:t>
        <w:br w:type="textWrapping"/>
        <w:t xml:space="preserve">from His [ver. 10]. Then follows a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 exhortation, vv.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 Thus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clear, and according to the progress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Sev other proposed mean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64PFUP30u8/smTYEM89wWVQMA==">CgMxLjA4AHIhMW4xbmpWRmtlTFczVFRoUElhSDNJYnRmcmVycHotckZ1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