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anticipate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frequently dropped hints,</w:t>
        <w:br w:type="textWrapping"/>
        <w:t xml:space="preserve">and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asserting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that, which he intends</w:t>
        <w:br w:type="textWrapping"/>
        <w:t xml:space="preserve">very soon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demonstrate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 Having therefore a great High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fact of this being Christ’s office is as yet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assumed: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above, ch. ii. 17, iii. 1:—</w:t>
        <w:br w:type="textWrapping"/>
        <w:t xml:space="preserve">but now with more points of contact with</w:t>
        <w:br w:type="textWrapping"/>
        <w:t xml:space="preserve">what has been already said; e.g. ver. 10,</w:t>
        <w:br w:type="textWrapping"/>
        <w:t xml:space="preserve">where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entering into His rest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close</w:t>
        <w:br w:type="textWrapping"/>
        <w:t xml:space="preserve">connexion with the High Priest entering</w:t>
        <w:br w:type="textWrapping"/>
        <w:t xml:space="preserve">within the veil.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in ch. xiii. 20,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Shepherd of the sheep:”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answering very much to the use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  <w:br w:type="textWrapping"/>
        <w:t xml:space="preserve">St. John,—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 am the true vine,”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“this</w:t>
        <w:br w:type="textWrapping"/>
        <w:t xml:space="preserve">was the true light:”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 archetypal High</w:t>
        <w:br w:type="textWrapping"/>
        <w:t xml:space="preserve">Priest,—one above all),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passed through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‘into,’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A. V.: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heavens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the earthly High Priest passed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veil into the holiest place, so</w:t>
        <w:br w:type="textWrapping"/>
        <w:t xml:space="preserve">the great High Priest through the heavens</w:t>
        <w:br w:type="textWrapping"/>
        <w:t xml:space="preserve">to God’s throne: see ch. ix. 11: with reference also to ver. 10, the entering of Jesus into His rest. In this fact, His greatness is substantiated. On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heavens,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plural, see on ch. i. 10. “By</w:t>
        <w:br w:type="textWrapping"/>
        <w:t xml:space="preserve">the heavens are understood all those</w:t>
        <w:br w:type="textWrapping"/>
        <w:t xml:space="preserve">heavens which are interposed between us</w:t>
        <w:br w:type="textWrapping"/>
        <w:t xml:space="preserve">and God: viz., both the whole region of</w:t>
        <w:br w:type="textWrapping"/>
        <w:t xml:space="preserve">the atmosphere, which is also called heaven</w:t>
        <w:br w:type="textWrapping"/>
        <w:t xml:space="preserve">in Scripture, and the heavens wherein are</w:t>
        <w:br w:type="textWrapping"/>
        <w:t xml:space="preserve">the sun, moon, and stars, and lights of the</w:t>
        <w:br w:type="textWrapping"/>
        <w:t xml:space="preserve">world, than all of which Christ is become</w:t>
        <w:br w:type="textWrapping"/>
        <w:t xml:space="preserve">greater: see ch. vii. 26. Eph. iv. 10.</w:t>
        <w:br w:type="textWrapping"/>
        <w:t xml:space="preserve">After these is that heaven where God</w:t>
        <w:br w:type="textWrapping"/>
        <w:t xml:space="preserve">dwells, the habitation of immortality,</w:t>
        <w:br w:type="textWrapping"/>
        <w:t xml:space="preserve">which our High Priest entered, and did</w:t>
        <w:br w:type="textWrapping"/>
        <w:t xml:space="preserve">not pass through.” Schlichting. Thus, as</w:t>
        <w:br w:type="textWrapping"/>
        <w:t xml:space="preserve">Theophylact remarks, our Lord became</w:t>
        <w:br w:type="textWrapping"/>
        <w:t xml:space="preserve">greater than Moses, who neither entered</w:t>
        <w:br w:type="textWrapping"/>
        <w:t xml:space="preserve">himself into the land of promise, nor lod.</w:t>
        <w:br w:type="textWrapping"/>
        <w:t xml:space="preserve">the people into it),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Jesus the Son of God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(certainly not so named in this connexion</w:t>
        <w:br w:type="textWrapping"/>
        <w:t xml:space="preserve">without allusion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Joshua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above mentioned. We cannot conceive</w:t>
        <w:br w:type="textWrapping"/>
        <w:t xml:space="preserve">that even a careful ordinary writer would</w:t>
        <w:br w:type="textWrapping"/>
        <w:t xml:space="preserve">have used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same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different</w:t>
        <w:br w:type="textWrapping"/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designating the second of</w:t>
        <w:br w:type="textWrapping"/>
        <w:t xml:space="preserve">them, without intention, At the same</w:t>
        <w:br w:type="textWrapping"/>
        <w:t xml:space="preserve">time, there is no reason for supposing that</w:t>
        <w:br w:type="textWrapping"/>
        <w:t xml:space="preserve">such an allusion exhausts the sense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weighty addition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brings out the majesty of our High Priest, and justifies at</w:t>
        <w:br w:type="textWrapping"/>
        <w:t xml:space="preserve">the same time the preceding clause, leading</w:t>
        <w:br w:type="textWrapping"/>
        <w:t xml:space="preserve">the mind to supply “to God, whose Son</w:t>
        <w:br w:type="textWrapping"/>
        <w:t xml:space="preserve">He is.” Besides which, it adds infinite</w:t>
        <w:br w:type="textWrapping"/>
        <w:t xml:space="preserve">weight to the exhortation which follows),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hold fast the confession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of our</w:t>
        <w:br w:type="textWrapping"/>
        <w:t xml:space="preserve">Christian faith: not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of Christ's</w:t>
        <w:br w:type="textWrapping"/>
        <w:t xml:space="preserve">ascension, nor merely of Christ as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High Priest: compare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 and note,</w:t>
        <w:br w:type="textWrapping"/>
        <w:t xml:space="preserve">and ch. x. 23, which gives more the subjective side, here necessarily to be understood also. See also ch. iii. 6.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Cornelius-a-Lapide gives a beautiful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phrase: “Come, ye Hebrews, persist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faith of Christ, press on to your rest in</w:t>
        <w:br w:type="textWrapping"/>
        <w:t xml:space="preserve">the heavens: though they seem far above</w:t>
        <w:br w:type="textWrapping"/>
        <w:t xml:space="preserve">us, we shall easily climb and pass them</w:t>
        <w:br w:type="textWrapping"/>
        <w:t xml:space="preserve">with Christ for our Leader, who passed</w:t>
        <w:br w:type="textWrapping"/>
        <w:t xml:space="preserve">through them and opened them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s,—</w:t>
        <w:br w:type="textWrapping"/>
        <w:t xml:space="preserve">if only we firmly retain the confession,—</w:t>
        <w:br w:type="textWrapping"/>
        <w:t xml:space="preserve">the profession,—i.e. of our faith and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hope”).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 connected?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not as grounding the facts just</w:t>
        <w:br w:type="textWrapping"/>
        <w:t xml:space="preserve">stated; but as furnishing a motive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holding fast our confession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effort</w:t>
        <w:br w:type="textWrapping"/>
        <w:t xml:space="preserve">is not hopeless, notwithstanding the majesty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High Priest, and the power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of our God: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sympathized with and helped by Him.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Schlichting, “He anticipates an objection.</w:t>
        <w:br w:type="textWrapping"/>
        <w:t xml:space="preserve">Any one might say, How shall this great</w:t>
        <w:br w:type="textWrapping"/>
        <w:t xml:space="preserve">High Priest, help me,—who in proportion</w:t>
        <w:br w:type="textWrapping"/>
        <w:t xml:space="preserve">as He is greater and more remote from</w:t>
        <w:br w:type="textWrapping"/>
        <w:t xml:space="preserve">us, will probably be insensible to care for</w:t>
        <w:br w:type="textWrapping"/>
        <w:t xml:space="preserve">us?” To suppose, as some have done,</w:t>
        <w:br w:type="textWrapping"/>
        <w:t xml:space="preserve">that a contrast to the Jewish High Priests</w:t>
        <w:br w:type="textWrapping"/>
        <w:t xml:space="preserve">is intended,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contradict directly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v.2. Rather is our great High Priest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respect expressly identified with them)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 not an high priest unable to</w:t>
        <w:br w:type="textWrapping"/>
        <w:t xml:space="preserve">sympathize with our infirmities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(primarily, our inner and innate weaknesses,—be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thereby lending to</w:t>
        <w:br w:type="textWrapping"/>
        <w:t xml:space="preserve">exposur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suffering and disease, which</w:t>
        <w:br w:type="textWrapping"/>
        <w:t xml:space="preserve">itself is sometimes called by this name,—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moral,—whereby misery</w:t>
        <w:br w:type="textWrapping"/>
        <w:t xml:space="preserve">arises, and sin finds entrance. as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v. 2, vii. 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Both these, indeed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human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firmities, are there included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 all does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gaFwiTyfVYfvQTWijoRu0ctqA==">CgMxLjA4AHIhMUZHd1psQlVLalRJZjJRLU55OFNWOVJteWN1dV9XYzdm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