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note on ch. ii. 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stress is both</w:t>
        <w:br w:type="textWrapping"/>
        <w:t xml:space="preserve">times on this noun and its preposition,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taken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among men,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ap-</w:t>
        <w:br w:type="textWrapping"/>
        <w:t xml:space="preserve">pointed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men,”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former justifying the</w:t>
        <w:br w:type="textWrapping"/>
        <w:t xml:space="preserve">latter. This is a powerful additional reason for taking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“taken from among men”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predicatively: for, if it be taken as attached to the subject, “every High Priest taken from among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a necessary</w:t>
        <w:br w:type="textWrapping"/>
        <w:t xml:space="preserve">stress in such case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“men”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same</w:t>
        <w:br w:type="textWrapping"/>
        <w:t xml:space="preserve">stress must be laid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clause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“is appointed for men,”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an implication that Christ, with whom on this hypothesis the human High Priest is contrasted,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appointed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matters relating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 on</w:t>
        <w:br w:type="textWrapping"/>
        <w:t xml:space="preserve">ch. ii. 17),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 may offer both gifts</w:t>
        <w:br w:type="textWrapping"/>
        <w:t xml:space="preserve">and sacrifices for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gifts and sacrifices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both to be taken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sins: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alone,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sacrifices for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together.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for, or on behalf 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atone for,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ch. ii. 17. No satisfactory distinction can</w:t>
        <w:br w:type="textWrapping"/>
        <w:t xml:space="preserve">be set up between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sacrifices: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properly speaking, the former would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 manner of offerings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latter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slain beasts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only: but this usage is</w:t>
        <w:br w:type="textWrapping"/>
        <w:t xml:space="preserve">not observed in Scripture):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(one who is)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clause is</w:t>
        <w:br w:type="textWrapping"/>
        <w:t xml:space="preserve">closely bound to the last, and belongs to it,</w:t>
        <w:br w:type="textWrapping"/>
        <w:t xml:space="preserve">not to the whole sentence)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compassionate towards the ignorant and</w:t>
        <w:br w:type="textWrapping"/>
        <w:t xml:space="preserve">erring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former mild word though</w:t>
        <w:br w:type="textWrapping"/>
        <w:t xml:space="preserve">frequently used of sinners elsewhere without,</w:t>
        <w:br w:type="textWrapping"/>
        <w:t xml:space="preserve">as well as with, the implication of ignorance,</w:t>
        <w:br w:type="textWrapping"/>
        <w:t xml:space="preserve">seems to be here placed, as well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erring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itself at all events a milder term 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 suitable to the tone of the sentence,</w:t>
        <w:br w:type="textWrapping"/>
        <w:t xml:space="preserve">in which the feeling of a sinner towards</w:t>
        <w:br w:type="textWrapping"/>
        <w:t xml:space="preserve">his fellow-sinners is expressed. The sense</w:t>
        <w:br w:type="textWrapping"/>
        <w:t xml:space="preserve">might be filled up, ‘towards those who</w:t>
        <w:br w:type="textWrapping"/>
        <w:t xml:space="preserve">[possibly after all] are ignorant and deluded.’ And thus the propriety of the</w:t>
        <w:br w:type="textWrapping"/>
        <w:t xml:space="preserve">next clause is rendered still greater; both</w:t>
        <w:br w:type="textWrapping"/>
        <w:t xml:space="preserve">these,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ignorance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being the results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he himself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encompassed. There is in these designations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one side of “si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 high hand,” and an inclusion in</w:t>
        <w:br w:type="textWrapping"/>
        <w:t xml:space="preserve">them, as above, of much more than sins,</w:t>
        <w:br w:type="textWrapping"/>
        <w:t xml:space="preserve">strictly speaking, of ignorance),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seeing</w:t>
        <w:br w:type="textWrapping"/>
        <w:t xml:space="preserve">that he himself is also compassed about</w:t>
        <w:br w:type="textWrapping"/>
        <w:t xml:space="preserve">with infirmity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infirmity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asin ch. vii. 28,</w:t>
        <w:br w:type="textWrapping"/>
        <w:t xml:space="preserve">that moral weakness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makes men</w:t>
        <w:br w:type="textWrapping"/>
        <w:t xml:space="preserve">capable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never predicated of</w:t>
        <w:br w:type="textWrapping"/>
        <w:t xml:space="preserve">Christ in this sense: nay, by the terms of</w:t>
        <w:br w:type="textWrapping"/>
        <w:t xml:space="preserve">vii. 28,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infirmity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flesh which He bore on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thereby was capable of suffering and</w:t>
        <w:br w:type="textWrapping"/>
        <w:t xml:space="preserve">of death, was entirely distinct from this).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And on account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infirmity wherewith he himself is encompassed)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meaning, it is his</w:t>
        <w:br w:type="textWrapping"/>
        <w:t xml:space="preserve">appointed duty according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aw: but,</w:t>
        <w:br w:type="textWrapping"/>
        <w:t xml:space="preserve">it is necessary for him, a priori, on higher</w:t>
        <w:br w:type="textWrapping"/>
        <w:t xml:space="preserve">ground than, and before, the ordinance of</w:t>
        <w:br w:type="textWrapping"/>
        <w:t xml:space="preserve">the law. See on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for the</w:t>
        <w:br w:type="textWrapping"/>
        <w:t xml:space="preserve">people, so also for himself, offer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only</w:t>
        <w:br w:type="textWrapping"/>
        <w:t xml:space="preserve">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New Test.: see Num.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x.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accordingly,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was the ordinance of the</w:t>
        <w:br w:type="textWrapping"/>
        <w:t xml:space="preserve">law: see Levit. iv. 3, ix. 7, xvi. 6.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has been said as to the applica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ility or otherwise of these considerations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Christ. Some have considered all that</w:t>
        <w:br w:type="textWrapping"/>
        <w:t xml:space="preserve">has hitherto been said as spoken of human</w:t>
        <w:br w:type="textWrapping"/>
        <w:t xml:space="preserve">High Priests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Him:</w:t>
        <w:br w:type="textWrapping"/>
        <w:t xml:space="preserve">but it is better to understand it all as spoken</w:t>
        <w:br w:type="textWrapping"/>
        <w:t xml:space="preserve">of High Priests in general: and then, as</w:t>
        <w:br w:type="textWrapping"/>
        <w:t xml:space="preserve">Ebrard well says, leave it to the Writer</w:t>
        <w:br w:type="textWrapping"/>
        <w:t xml:space="preserve">himself, ver. 5 ff., to determine how far these</w:t>
        <w:br w:type="textWrapping"/>
        <w:t xml:space="preserve">es are satisfied in Christ.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argument itself will shew us,—</w:t>
        <w:br w:type="textWrapping"/>
        <w:t xml:space="preserve">ver. 8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farther on,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7,—in 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far Christ is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ike the Old Test. High Priest).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requisite: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ap-</w:t>
        <w:br w:type="textWrapping"/>
        <w:t xml:space="preserve">pointment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(couples to ver. 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the subsequent verses have bee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explanatory)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none taketh the office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kcMeDhS/UnktpcllrVhbeai+A==">CgMxLjA4AHIhMUEtVHZka1k2OVlTdDNUcWlkQ0ZLZFJQMGpoZWVCX1li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