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subjection to the will of the Father:</w:t>
        <w:br w:type="textWrapping"/>
        <w:t xml:space="preserve">they were all parts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made 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virtue of which he is now, in the fullest and most glorious sense, our High Priest.</w:t>
        <w:br w:type="textWrapping"/>
        <w:t xml:space="preserve">So that these verses are no digression, but stand directly in the course</w:t>
        <w:br w:type="textWrapping"/>
        <w:t xml:space="preserve">of the argument, as proving the proposition,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glorified not himself to be made High Priest.”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will be best to mark at once what I believe to be the connexion</w:t>
        <w:br w:type="textWrapping"/>
        <w:t xml:space="preserve">of this much-disputed sentence, and then to</w:t>
        <w:br w:type="textWrapping"/>
        <w:t xml:space="preserve">examine each portion in detail afterwards.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in the days of his flesh, in that he</w:t>
        <w:br w:type="textWrapping"/>
        <w:t xml:space="preserve">offered up prayers and supplications with</w:t>
        <w:br w:type="textWrapping"/>
        <w:t xml:space="preserve">strong crying and tears to Him that was</w:t>
        <w:br w:type="textWrapping"/>
        <w:t xml:space="preserve">able to save him from death, and was</w:t>
        <w:br w:type="textWrapping"/>
        <w:t xml:space="preserve">heard by reason of his reverent submission; though He was a Son, learned, from the things which he suffered, his obedience; and being made perfect, became the cause of eternal salvation to all who obey</w:t>
        <w:br w:type="textWrapping"/>
        <w:t xml:space="preserve">Him, being addressed by God as High</w:t>
        <w:br w:type="textWrapping"/>
        <w:t xml:space="preserve">Priest after the order of Melchisedec.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is, being paraphrased—“who had a</w:t>
        <w:br w:type="textWrapping"/>
        <w:t xml:space="preserve">course of glorifying for the High Priest’s</w:t>
        <w:br w:type="textWrapping"/>
        <w:t xml:space="preserve">office to go through, not of his own choice,</w:t>
        <w:br w:type="textWrapping"/>
        <w:t xml:space="preserve">but appointed for Him by the Father, as</w:t>
        <w:br w:type="textWrapping"/>
        <w:t xml:space="preserve">is shewn by that sharp lesson of obedience</w:t>
        <w:br w:type="textWrapping"/>
        <w:t xml:space="preserve">(not as contrasted with disobedience, but as</w:t>
        <w:br w:type="textWrapping"/>
        <w:t xml:space="preserve">indicating a glorious degree of perfect obedience,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obedience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familiar to us all, which He, though God’s own Son, learned</w:t>
        <w:br w:type="textWrapping"/>
        <w:t xml:space="preserve">during the days of his flesh: when He</w:t>
        <w:br w:type="textWrapping"/>
        <w:t xml:space="preserve">cried to God with tears for deliverance</w:t>
        <w:br w:type="textWrapping"/>
        <w:t xml:space="preserve">from death, and was heard on account: of</w:t>
        <w:br w:type="textWrapping"/>
        <w:t xml:space="preserve">His resignation to the Father’s will [‘not</w:t>
        <w:br w:type="textWrapping"/>
        <w:t xml:space="preserve">my will but Thine be done’], &amp;c.” Then</w:t>
        <w:br w:type="textWrapping"/>
        <w:t xml:space="preserve">as to details: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days of his flesh I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understand as a general wide date for the</w:t>
        <w:br w:type="textWrapping"/>
        <w:t xml:space="preserve">incident which bout to be brought in,</w:t>
        <w:br w:type="textWrapping"/>
        <w:t xml:space="preserve">as contrasted with His present days of</w:t>
        <w:br w:type="textWrapping"/>
        <w:t xml:space="preserve">glorification in the Spirit.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tears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distinctly asserted in the</w:t>
        <w:br w:type="textWrapping"/>
        <w:t xml:space="preserve">sacred narrative: but is a most obvious inference from what is there: see Matt. xxvi. 37. There seems no reason for understanding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strong crying and tears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any other time than the agony at Gethsemane, as some have done. This is adduced as the most illustrious instance of</w:t>
        <w:br w:type="textWrapping"/>
        <w:t xml:space="preserve">that learning obedience from suffering.</w:t>
        <w:br w:type="textWrapping"/>
        <w:t xml:space="preserve">Epiphanius reports, that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weeping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Lord in His agony was once related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texts of St. Luke: see note on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xxii. 43, 44.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save him from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by some understood to mean,</w:t>
        <w:br w:type="textWrapping"/>
        <w:t xml:space="preserve">not as generally, of rescue from the death</w:t>
        <w:br w:type="textWrapping"/>
        <w:t xml:space="preserve">which He was about to suffer, but of His</w:t>
        <w:br w:type="textWrapping"/>
        <w:t xml:space="preserve">happy deliverance from that death by</w:t>
        <w:br w:type="textWrapping"/>
        <w:t xml:space="preserve">the Resurrection. So also recently Ebrard. But this is not only against the</w:t>
        <w:br w:type="textWrapping"/>
        <w:t xml:space="preserve">usage of the phrase here used, but still</w:t>
        <w:br w:type="textWrapping"/>
        <w:t xml:space="preserve">more decidedly against the truth of the</w:t>
        <w:br w:type="textWrapping"/>
        <w:t xml:space="preserve">sacred narrative: “Father, if it be possible,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this cup pass from me:”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we must</w:t>
        <w:br w:type="textWrapping"/>
        <w:t xml:space="preserve">of course assume, that in such a desig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 of the Father, the contents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 made to him are also indicated. The</w:t>
        <w:br w:type="textWrapping"/>
        <w:t xml:space="preserve">clause which follows is rendered in three different ways.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was heard on 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pious resignation.”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was</w:t>
        <w:br w:type="textWrapping"/>
        <w:t xml:space="preserve">heard, and so delivered, from that which</w:t>
        <w:br w:type="textWrapping"/>
        <w:t xml:space="preserve">He feared.”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was heard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who was His fear”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xxxi. 42, 43).</w:t>
        <w:br w:type="textWrapping"/>
        <w:t xml:space="preserve">I have discussed all these in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Greek Test.,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have rejected 3),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far-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hed, and</w:t>
        <w:br w:type="textWrapping"/>
        <w:t xml:space="preserve">inconsistent with the usage of the Greek</w:t>
        <w:br w:type="textWrapping"/>
        <w:t xml:space="preserve">word here used: 2), as also inconsistent</w:t>
        <w:br w:type="textWrapping"/>
        <w:t xml:space="preserve">with the usage of that word, which signifies not terror,—His own fear, or the 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caused that fear,—but the fear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caution, or modesty, or reverence: besides</w:t>
        <w:br w:type="textWrapping"/>
        <w:t xml:space="preserve">that He was not delivered from death, as</w:t>
        <w:br w:type="textWrapping"/>
        <w:t xml:space="preserve">this meaning would assert. So that 1)</w:t>
        <w:br w:type="textWrapping"/>
        <w:t xml:space="preserve">must be accepted; and it fulfils the requirements both of usage and of fact.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religious sense of this cautions fear suits</w:t>
        <w:br w:type="textWrapping"/>
        <w:t xml:space="preserve">remarkably well in our passage. No term</w:t>
        <w:br w:type="textWrapping"/>
        <w:t xml:space="preserve">could more exactly express the reverent</w:t>
        <w:br w:type="textWrapping"/>
        <w:t xml:space="preserve">submission to his Heavenly Father’s will</w:t>
        <w:br w:type="textWrapping"/>
        <w:t xml:space="preserve">which is shewn in those words, “Not my</w:t>
        <w:br w:type="textWrapping"/>
        <w:t xml:space="preserve">will but thine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done: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none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stant humbling of himself in comparison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exalting him in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deed, of which our Saviour’s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full.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no hesitation therefore in adopting</w:t>
        <w:br w:type="textWrapping"/>
        <w:t xml:space="preserve">this rendering, and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 entirely</w:t>
        <w:br w:type="textWrapping"/>
        <w:t xml:space="preserve">satisfied with it. Besides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lfilling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requisites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philology and of fact,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admirably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suits the context here, where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appointment of Christ by the Father to his,</w:t>
        <w:br w:type="textWrapping"/>
        <w:t xml:space="preserve">High Priesthood and the various steps by</w:t>
        <w:br w:type="textWrapping"/>
        <w:t xml:space="preserve">which that High Priesthood was perfected,</w:t>
        <w:br w:type="textWrapping"/>
        <w:t xml:space="preserve">are in question.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matter of’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represented by the assertion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was</w:t>
        <w:br w:type="textWrapping"/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require some explanation. 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9MeeWfKxnC8aelq7iKOc/8kBQ==">CgMxLjA4AHIhMVZyalI3Y2RRNFpNcGtnM2tHQlc1cXVDM3dZdFdiU2RB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