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altogether, and slowness of ear to receive</w:t>
        <w:br w:type="textWrapping"/>
        <w:t xml:space="preserve">divine knowledge: and they wanted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begin again with them and learn them the very first elements. And so far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“some one"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being, as Delitzsch most absurdly says,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flat and unmeaning,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carries with it the fine keen edge of reproach: as if it were said, “to teach you what all know and any can teach”)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rudiments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(or, ‘elements,’ or, ‘first principles:’ see</w:t>
        <w:br w:type="textWrapping"/>
        <w:t xml:space="preserve">Gal. iv. 3 and note; the simple parts out</w:t>
        <w:br w:type="textWrapping"/>
        <w:t xml:space="preserve">of which a body is compounded)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</w:t>
        <w:br w:type="textWrapping"/>
        <w:t xml:space="preserve">beginning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genitive specifies the elements, that they are not only such, but also belong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very beginning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divine</w:t>
        <w:br w:type="textWrapping"/>
        <w:t xml:space="preserve">knowledge)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oracles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(that Christian</w:t>
        <w:br w:type="textWrapping"/>
        <w:t xml:space="preserve">doctrine [ch. vi. 1] which rests entirely on</w:t>
        <w:br w:type="textWrapping"/>
        <w:t xml:space="preserve">revelations from God)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God; and ye have</w:t>
        <w:br w:type="textWrapping"/>
        <w:t xml:space="preserve">become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(‘not only,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‘ye have need,’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ye</w:t>
        <w:br w:type="textWrapping"/>
        <w:t xml:space="preserve">have become such as have need: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indicating</w:t>
        <w:br w:type="textWrapping"/>
        <w:t xml:space="preserve">that it was of their own will, that they had</w:t>
        <w:br w:type="textWrapping"/>
        <w:t xml:space="preserve">brought themselves into this state of need.”</w:t>
        <w:br w:type="textWrapping"/>
        <w:t xml:space="preserve">Chrysoston)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need of milk,</w:t>
        <w:br w:type="textWrapping"/>
        <w:t xml:space="preserve">and not of solid food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1 Cor. iii. 2.</w:t>
        <w:br w:type="textWrapping"/>
        <w:t xml:space="preserve">The similitude is very common with Philo.</w:t>
        <w:br w:type="textWrapping"/>
        <w:t xml:space="preserve">What is the milk in the Writer’s meaning,</w:t>
        <w:br w:type="textWrapping"/>
        <w:t xml:space="preserve">is plain from ch. vi. 1, where he enumerates</w:t>
        <w:br w:type="textWrapping"/>
        <w:t xml:space="preserve">several portions of Christian doctrine as</w:t>
        <w:br w:type="textWrapping"/>
        <w:t xml:space="preserve">parts of the discourse concerning the beginning of Christ).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renders a reason for vv. 11, 12, and especially for</w:t>
        <w:br w:type="textWrapping"/>
        <w:t xml:space="preserve">the assertion that the discourse would be</w:t>
        <w:br w:type="textWrapping"/>
        <w:t xml:space="preserve">difficulty of interpretation. Having before</w:t>
        <w:br w:type="textWrapping"/>
        <w:t xml:space="preserve">stated that what he had to say would be</w:t>
        <w:br w:type="textWrapping"/>
        <w:t xml:space="preserve">hard for him to explain to them, and then</w:t>
        <w:br w:type="textWrapping"/>
        <w:t xml:space="preserve">that they were become persons needing</w:t>
        <w:br w:type="textWrapping"/>
        <w:t xml:space="preserve">milk and not solid food, he now proceeds</w:t>
        <w:br w:type="textWrapping"/>
        <w:t xml:space="preserve">to join these two positions together: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  <w:br w:type="textWrapping"/>
        <w:t xml:space="preserve">every one who partakes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the sense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has for his share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ordinary feeding: not,</w:t>
        <w:br w:type="textWrapping"/>
        <w:t xml:space="preserve">partakes of in common with other things,</w:t>
        <w:br w:type="textWrapping"/>
        <w:t xml:space="preserve">for that adults do: see 1 Cor. x. 21)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milk</w:t>
        <w:br w:type="textWrapping"/>
        <w:t xml:space="preserve">is unskilled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unskil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in, which</w:t>
        <w:br w:type="textWrapping"/>
        <w:t xml:space="preserve">would be so, but is a different thing)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word of righteousness: for he is an infant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(that is, for every partaker of milk,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metaphorical sense in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 the word, i.e. every one who requires</w:t>
        <w:br w:type="textWrapping"/>
        <w:t xml:space="preserve">yet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first principles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devoid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understanding in the word of</w:t>
        <w:br w:type="textWrapping"/>
        <w:t xml:space="preserve">righteousness, in, that is, the positions and</w:t>
        <w:br w:type="textWrapping"/>
        <w:t xml:space="preserve">arguments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treat of God’s salvation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Christ: for he is an infant: takes the</w:t>
        <w:br w:type="textWrapping"/>
        <w:t xml:space="preserve">same rank in spiritual understanding, that</w:t>
        <w:br w:type="textWrapping"/>
        <w:t xml:space="preserve">an infant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in worldly” Thus taken, I</w:t>
        <w:br w:type="textWrapping"/>
        <w:t xml:space="preserve">can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difficulty in the contextual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onnexion. There is of course a mingling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figure and the thing represented, which</w:t>
        <w:br w:type="textWrapping"/>
        <w:t xml:space="preserve">however is easy enough to any reader to</w:t>
        <w:br w:type="textWrapping"/>
        <w:t xml:space="preserve">whom both figure and thing are already</w:t>
        <w:br w:type="textWrapping"/>
        <w:t xml:space="preserve">familiar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is necessary to fix more</w:t>
        <w:br w:type="textWrapping"/>
        <w:t xml:space="preserve">satisfactorily the meaning of the somewhat</w:t>
        <w:br w:type="textWrapping"/>
        <w:t xml:space="preserve">obscure 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 righteous-</w:t>
        <w:br w:type="textWrapping"/>
        <w:t xml:space="preserve">ness.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Chrysostom interprets it of the</w:t>
        <w:br w:type="textWrapping"/>
        <w:t xml:space="preserve">doctrine of a pure and holy life: others,</w:t>
        <w:br w:type="textWrapping"/>
        <w:t xml:space="preserve">of that relating to Christ, the Author of</w:t>
        <w:br w:type="textWrapping"/>
        <w:t xml:space="preserve">righteousness: others again, of the higher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doctrines: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thers,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doctrine of justifi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cation by faith: others, of the doctrine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perfection, of which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and by speaks:</w:t>
        <w:br w:type="textWrapping"/>
        <w:t xml:space="preserve">some, of the doctrine respecting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 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to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nemann’s view of the meaning,</w:t>
        <w:br w:type="textWrapping"/>
        <w:t xml:space="preserve">based as it is on the requirements of the</w:t>
        <w:br w:type="textWrapping"/>
        <w:t xml:space="preserve">passage, in which the stress is not 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of righteousness,”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unskilled,”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of righteousness”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follows as something of course and generally understood. Feeling this, he interprets it. of the gospel in general: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the central point is,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righteousness which is of God. And he</w:t>
        <w:br w:type="textWrapping"/>
        <w:t xml:space="preserve">refers to 2 Cor.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9,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ministration of</w:t>
        <w:br w:type="textWrapping"/>
        <w:t xml:space="preserve">righteousness,”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ministers of</w:t>
        <w:br w:type="textWrapping"/>
        <w:t xml:space="preserve">righteousness.”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acceptation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altogether preclude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king of righteousness”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falling under the same general head,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would bring the two expressions into union, though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reference from one to another).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(continuation of and contrast to</w:t>
        <w:br w:type="textWrapping"/>
        <w:t xml:space="preserve">ver. 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solid food belongs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9Y+GhxjThy82SM5oxw/RJ3S4Iw==">CgMxLjA4AHIhMUtnQTVHTDFjb3hiSU9XZk9YNkk2U0hJTmwtX18xRG1G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