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passive [“to renew them,” or, “that they</w:t>
        <w:br w:type="textWrapping"/>
        <w:t xml:space="preserve">should be renewed”] : the impossibility</w:t>
        <w:br w:type="textWrapping"/>
        <w:t xml:space="preserve">merely within the limits of the hypothesis</w:t>
        <w:br w:type="textWrapping"/>
        <w:t xml:space="preserve">itself. Whether God, of His infinite mercy</w:t>
        <w:br w:type="textWrapping"/>
        <w:t xml:space="preserve">and almighty power, will ever, by judgments or the strong work of His Spirit reclaim the obdurate sinner, so that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look on Him whom he has pierced,</w:t>
        <w:br w:type="textWrapping"/>
        <w:t xml:space="preserve">is, thank Him, a question which neither</w:t>
        <w:br w:type="textWrapping"/>
        <w:t xml:space="preserve">this, nor any other passage of Scripture,</w:t>
        <w:br w:type="textWrapping"/>
        <w:t xml:space="preserve">precludes us from entertaining. There is</w:t>
        <w:br w:type="textWrapping"/>
        <w:t xml:space="preserve">no barring here of God’s grace, but just as</w:t>
        <w:br w:type="textWrapping"/>
        <w:t xml:space="preserve">1 have observed above, an axiomatic preclusion by the very hypothesis itself, of a renewal to repentance of those who have</w:t>
        <w:br w:type="textWrapping"/>
        <w:t xml:space="preserve">passed through, and rejected for themselves,</w:t>
        <w:br w:type="textWrapping"/>
        <w:t xml:space="preserve">God’s appointed means of renewal. 5)</w:t>
        <w:br w:type="textWrapping"/>
        <w:t xml:space="preserve">Another dispute over our passage has been,</w:t>
        <w:br w:type="textWrapping"/>
        <w:t xml:space="preserve">whether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 against 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in any way brought in here. Certainly</w:t>
        <w:br w:type="textWrapping"/>
        <w:t xml:space="preserve">we may say that the fall here spoken of</w:t>
        <w:br w:type="textWrapping"/>
        <w:t xml:space="preserve">cannot be identical with that sin: for as</w:t>
        <w:br w:type="textWrapping"/>
        <w:t xml:space="preserve">Bleek has well remarked, that sin may</w:t>
        <w:br w:type="textWrapping"/>
        <w:t xml:space="preserve">be predicated of persons altogether outside the Christian Church, as were those with reference to whom our Lord uttered</w:t>
        <w:br w:type="textWrapping"/>
        <w:t xml:space="preserve">His awful saying on it. It is true, the</w:t>
        <w:br w:type="textWrapping"/>
        <w:t xml:space="preserve">language used in the parallel place, ch. x. 29, does approach that sin, where he 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“have done despite to the Spirit of grace:”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it is also clear that the impossibility here spoken of cannot depend</w:t>
        <w:br w:type="textWrapping"/>
        <w:t xml:space="preserve">ou the fact of such sin having been committed, by the construction of the</w:t>
        <w:br w:type="textWrapping"/>
        <w:t xml:space="preserve">sentence, which itself renders the reason</w:t>
        <w:br w:type="textWrapping"/>
        <w:t xml:space="preserve">for that impossibility).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7,8.]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Illustration of the last 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a contrast</w:t>
        <w:br w:type="textWrapping"/>
        <w:t xml:space="preserve">between profitable and unprofitable land.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land which hath drunk in the rain</w:t>
        <w:br w:type="textWrapping"/>
        <w:t xml:space="preserve">frequently coming on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far,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both sides of the hypothesis:</w:t>
        <w:br w:type="textWrapping"/>
        <w:t xml:space="preserve">and not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“land”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only. The A.V.,</w:t>
        <w:br w:type="textWrapping"/>
        <w:t xml:space="preserve">“But that which beareth thorns, &amp;c.,”</w:t>
        <w:br w:type="textWrapping"/>
        <w:t xml:space="preserve">is mistranslated. Besides which, the A. V.</w:t>
        <w:br w:type="textWrapping"/>
        <w:t xml:space="preserve">has neglected the past participle here, in</w:t>
        <w:br w:type="textWrapping"/>
        <w:t xml:space="preserve">rendering,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earth which drinketh in.”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drinking in the rain is an act prior to</w:t>
        <w:br w:type="textWrapping"/>
        <w:t xml:space="preserve">both the hypotheses. 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drunk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implies not only that the earth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rain, Int that it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taken it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sucked it in, “being no impenetrable rocky</w:t>
        <w:br w:type="textWrapping"/>
        <w:t xml:space="preserve">soil, from which the rain runs off without</w:t>
        <w:br w:type="textWrapping"/>
        <w:t xml:space="preserve">sinking in. And thus it is an appropriate figure for men who have really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taken into themselves the word of God, and experienced its power,” and so furnishes an explanation of vv. 4, 5, as</w:t>
        <w:br w:type="textWrapping"/>
        <w:t xml:space="preserve">well as being explained by them. In the</w:t>
        <w:br w:type="textWrapping"/>
        <w:t xml:space="preserve">interpretation,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not be too</w:t>
        <w:br w:type="textWrapping"/>
        <w:t xml:space="preserve">strictly confined to “teaching,” but taken</w:t>
        <w:br w:type="textWrapping"/>
        <w:t xml:space="preserve">widely, as importing all spiritual influences</w:t>
        <w:br w:type="textWrapping"/>
        <w:t xml:space="preserve">whatever),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bringeth forth plants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(properly fodder, provender, for man or beast: the word is generally used for grass, or corn, or any kind of green herb)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(meet)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those on whose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 V. renders</w:t>
        <w:br w:type="textWrapping"/>
        <w:t xml:space="preserve">ungrammatically,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“by whom.”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sense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common</w:t>
        <w:br w:type="textWrapping"/>
        <w:t xml:space="preserve">in cases where some special reference of an</w:t>
        <w:br w:type="textWrapping"/>
        <w:t xml:space="preserve">already patent fact is adduced)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it is tilled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persons,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interpretation?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Theophylact mentions two references : 1) to the men themselves, who</w:t>
        <w:br w:type="textWrapping"/>
        <w:t xml:space="preserve">bearing Christian graces as fruit, will</w:t>
        <w:br w:type="textWrapping"/>
        <w:t xml:space="preserve">themselves reap the advantage: 2) to</w:t>
        <w:br w:type="textWrapping"/>
        <w:t xml:space="preserve">their teachers, who participate in their</w:t>
        <w:br w:type="textWrapping"/>
        <w:t xml:space="preserve">disciples’ excellences. But both these fall</w:t>
        <w:br w:type="textWrapping"/>
        <w:t xml:space="preserve">short of the mark: and there can be no</w:t>
        <w:br w:type="textWrapping"/>
        <w:t xml:space="preserve">doubt that if, as is probable, the features</w:t>
        <w:br w:type="textWrapping"/>
        <w:t xml:space="preserve">of the parable are to be traced in the interpretation, we must understand GOD as the owner of the land which is tilled, and</w:t>
        <w:br w:type="textWrapping"/>
        <w:t xml:space="preserve">the tillers are the teachers and preachers</w:t>
        <w:br w:type="textWrapping"/>
        <w:t xml:space="preserve">of the Gospel. So 1 Cor. iii. 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partaketh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verb is often used without any necessary reference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others also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sharers)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blessing from God: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{8}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 if</w:t>
        <w:br w:type="textWrapping"/>
        <w:t xml:space="preserve">it bear thorns and thistles is accounted</w:t>
        <w:br w:type="textWrapping"/>
        <w:t xml:space="preserve">worthless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‘reprobate,’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tried and found</w:t>
        <w:br w:type="textWrapping"/>
        <w:t xml:space="preserve">wanting. Being thus rejected, it gets no</w:t>
        <w:br w:type="textWrapping"/>
        <w:t xml:space="preserve">share of God’s blessing),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nigh unto</w:t>
        <w:br w:type="textWrapping"/>
        <w:t xml:space="preserve">cursing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appears here to be an</w:t>
        <w:br w:type="textWrapping"/>
        <w:t xml:space="preserve">allusion to Gen. iii. 17, 18, “Cursed be</w:t>
        <w:br w:type="textWrapping"/>
        <w:t xml:space="preserve">the ground for thy sake: thorns and</w:t>
        <w:br w:type="textWrapping"/>
        <w:t xml:space="preserve">thistles shall it bring forth unto thee.”</w:t>
        <w:br w:type="textWrapping"/>
        <w:t xml:space="preserve">Chrysostom has noticed that in the expression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hotInbF86vbpeCiARHmidVS1A==">CgMxLjA4AHIhMVlDVm52UDFxRXUxMTJudDNYTnhvVWZyLTJTcy1vcmly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