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God’s name, so that beneficence towards</w:t>
        <w:br w:type="textWrapping"/>
        <w:t xml:space="preserve">them was in fact shown towards His name.</w:t>
        <w:br w:type="textWrapping"/>
        <w:t xml:space="preserve">His refers to God, as the antecedent expressed above: not to Christ, as some</w:t>
        <w:br w:type="textWrapping"/>
        <w:t xml:space="preserve">explain 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having ministered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(probably,</w:t>
        <w:br w:type="textWrapping"/>
        <w:t xml:space="preserve">sec Rom. xv. 4; 2 Cor. viii. 4, 19, 20;</w:t>
        <w:br w:type="textWrapping"/>
        <w:t xml:space="preserve">ix. 1; Acts xi. 29, if not exclusively, yet</w:t>
        <w:br w:type="textWrapping"/>
        <w:t xml:space="preserve">principally, in eleemosynary bestowals.” It</w:t>
        <w:br w:type="textWrapping"/>
        <w:t xml:space="preserve">may hence perhaps be surmised that these</w:t>
        <w:br w:type="textWrapping"/>
        <w:t xml:space="preserve">Hebrews did not live in Judæa: see Introd.</w:t>
        <w:br w:type="textWrapping"/>
        <w:t xml:space="preserve">§ ii. 15)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saints, and still ministering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is a fine touch here of that delicate compliment, which is also characteristic of St. Paul. “This pious care has not ceased in you, though it may</w:t>
        <w:br w:type="textWrapping"/>
        <w:t xml:space="preserve">perhaps have declined,” as Schlichting:</w:t>
        <w:br w:type="textWrapping"/>
        <w:t xml:space="preserve">but the Writer leaves the defect to be</w:t>
        <w:br w:type="textWrapping"/>
        <w:t xml:space="preserve">understood, and states the excellency at</w:t>
        <w:br w:type="textWrapping"/>
        <w:t xml:space="preserve">its utmost).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(carries a slight reproof, contrasting your need of exhortation to constancy with your past and partially remaining present practice)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earnestly desire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 fervent heartfelt</w:t>
        <w:br w:type="textWrapping"/>
        <w:t xml:space="preserve">expression)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every one of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cares alike for great and small, knowing all, and passing over none.” Chrysostom)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 shew the same diligence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as some</w:t>
        <w:br w:type="textWrapping"/>
        <w:t xml:space="preserve">explain, the same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have already</w:t>
        <w:br w:type="textWrapping"/>
        <w:t xml:space="preserve">shewn: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nor, the same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have already</w:t>
        <w:br w:type="textWrapping"/>
        <w:t xml:space="preserve">shewn,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Chrysostom and others, which</w:t>
        <w:br w:type="textWrapping"/>
        <w:t xml:space="preserve">would imply that the Writer was satisfied</w:t>
        <w:br w:type="textWrapping"/>
        <w:t xml:space="preserve">with their state hitherto, and only desired its</w:t>
        <w:br w:type="textWrapping"/>
        <w:t xml:space="preserve">continuance: an inference at variance with</w:t>
        <w:br w:type="textWrapping"/>
        <w:t xml:space="preserve">the facts of the Epistle: but, the same,</w:t>
        <w:br w:type="textWrapping"/>
        <w:t xml:space="preserve">with a view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full assurance of hope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the end,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they had already shewn</w:t>
        <w:br w:type="textWrapping"/>
        <w:t xml:space="preserve">with regard to the necessities of the saints)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regard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employment which</w:t>
        <w:br w:type="textWrapping"/>
        <w:t xml:space="preserve">this diligence is to find: the object with</w:t>
        <w:br w:type="textWrapping"/>
        <w:t xml:space="preserve">reference to which it is to energize)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full assurance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as some,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full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objective,—which is against</w:t>
        <w:br w:type="textWrapping"/>
        <w:t xml:space="preserve">the New Test. usage of the word rendered)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your hope until the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ch. iii. 14.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until the end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belong to the whole sentence, not to the</w:t>
        <w:br w:type="textWrapping"/>
        <w:t xml:space="preserve">verb, nor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full assurance of hope”</w:t>
        <w:br w:type="textWrapping"/>
        <w:t xml:space="preserve">only.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“The end” is the coming of the</w:t>
        <w:br w:type="textWrapping"/>
        <w:t xml:space="preserve">Lord, looked for as close at hand; see note</w:t>
        <w:br w:type="textWrapping"/>
        <w:t xml:space="preserve">as above):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ye become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“be not”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misses the fine delicacy of the Writer,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 that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lness which he</w:t>
        <w:br w:type="textWrapping"/>
        <w:t xml:space="preserve">depre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 was indeed commenced, but</w:t>
        <w:br w:type="textWrapping"/>
        <w:t xml:space="preserve">might be broken off. 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11,</w:t>
        <w:br w:type="textWrapping"/>
        <w:t xml:space="preserve">where they are said to have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dull of</w:t>
        <w:br w:type="textWrapping"/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same adjective in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</w:t>
        <w:br w:type="textWrapping"/>
        <w:t xml:space="preserve">It is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that there is no contradiction between the two verses—the one being of sl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ggishness in hearing, the other in Christian</w:t>
        <w:br w:type="textWrapping"/>
        <w:t xml:space="preserve">practice),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sluggish,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again brings</w:t>
        <w:br w:type="textWrapping"/>
        <w:t xml:space="preserve">in a strong contrast—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nay, but rather: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passing to another subject altogether, as</w:t>
        <w:br w:type="textWrapping"/>
        <w:t xml:space="preserve">it were. See on ch. ii.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imitators of</w:t>
        <w:br w:type="textWrapping"/>
        <w:t xml:space="preserve">them who through faith and endurance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Col. i. 11, also ver. 15; James v. 7, 8.</w:t>
        <w:br w:type="textWrapping"/>
        <w:t xml:space="preserve">That constant and patient waiting is implied, without which faith would be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void: of which it is said, “It is good that</w:t>
        <w:br w:type="textWrapping"/>
        <w:t xml:space="preserve">a man should both hope and wait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</w:t>
        <w:br w:type="textWrapping"/>
        <w:t xml:space="preserve">salvation of the Lord”)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inherit the 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is meant by this, and who</w:t>
        <w:br w:type="textWrapping"/>
        <w:t xml:space="preserve">are indicated by the expression? The</w:t>
        <w:br w:type="textWrapping"/>
        <w:t xml:space="preserve">two questions are very closely connected</w:t>
        <w:br w:type="textWrapping"/>
        <w:t xml:space="preserve">together. First observe that the verb is</w:t>
        <w:br w:type="textWrapping"/>
        <w:t xml:space="preserve">not past,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o...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present:</w:t>
        <w:br w:type="textWrapping"/>
        <w:t xml:space="preserve">said not of any one act by which these</w:t>
        <w:br w:type="textWrapping"/>
        <w:t xml:space="preserve">persons entered on the inheritance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(1) a state now</w:t>
        <w:br w:type="textWrapping"/>
        <w:t xml:space="preserve">going 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(2)</w:t>
        <w:br w:type="textWrapping"/>
        <w:t xml:space="preserve">in mere predication,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 are inheritors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meant,</w:t>
        <w:br w:type="textWrapping"/>
        <w:t xml:space="preserve">is clear: for in ch. xi. where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enumerates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examples of faith and patience,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“These all. . . received not the</w:t>
        <w:br w:type="textWrapping"/>
        <w:t xml:space="preserve">promise.”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consideration would</w:t>
        <w:br w:type="textWrapping"/>
        <w:t xml:space="preserve">prevent the reference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supposed, to Abraham and the patriarchs.</w:t>
        <w:br w:type="textWrapping"/>
        <w:t xml:space="preserve">Taking then (2), we may regard the designation as used without reference to</w:t>
        <w:br w:type="textWrapping"/>
        <w:t xml:space="preserve">time, but as indicative of office, or standing, or privilege. Thus the reference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will be perfectly general: 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have inherited,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sha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inherit,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are inheriting,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inheritors of,”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inherit,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</w:t>
        <w:br w:type="textWrapping"/>
        <w:t xml:space="preserve">times and under all circumstances. Of</w:t>
        <w:br w:type="textWrapping"/>
        <w:t xml:space="preserve">these, Abraham is chosen as the most</w:t>
        <w:br w:type="textWrapping"/>
        <w:t xml:space="preserve">illustrious example).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encouragement to perseverance is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</w:t>
        <w:br w:type="textWrapping"/>
        <w:t xml:space="preserve">confirmed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express oath made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9M8zfCRiDPwKOgwvhikBZshBA==">CgMxLjA4AHIhMUZKcDhWTlpmX2JmQk81WWNKTGlwbmhOZVFlVERHN0Rx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