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reference to the fact of his receiving tithes</w:t>
        <w:br w:type="textWrapping"/>
        <w:t xml:space="preserve">of Abraham. As Bleek well remarks, if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applies personally to the sons of</w:t>
        <w:br w:type="textWrapping"/>
        <w:t xml:space="preserve">Levi,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also apply personally</w:t>
        <w:br w:type="textWrapping"/>
        <w:t xml:space="preserve">to Melchisedec).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Jew might reply, that it was nothing to him, if Abraham paid tithes to Melchisedec; for Abraham was no priest, and therefore paid</w:t>
        <w:br w:type="textWrapping"/>
        <w:t xml:space="preserve">tithes naturally to a priest: the Writer</w:t>
        <w:br w:type="textWrapping"/>
        <w:t xml:space="preserve">therefore proceeds to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third proof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shewing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Abraham even Levi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patriarch of the Jewish priesthood,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paid tithes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so to speak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phrase</w:t>
        <w:br w:type="textWrapping"/>
        <w:t xml:space="preserve">is used when any thing is about to be said</w:t>
        <w:br w:type="textWrapping"/>
        <w:t xml:space="preserve">that is unexpected, or somewhat strained,</w:t>
        <w:br w:type="textWrapping"/>
        <w:t xml:space="preserve">not likely to be universally recognized, at</w:t>
        <w:br w:type="textWrapping"/>
        <w:t xml:space="preserve">least in the general way in which it is</w:t>
        <w:br w:type="textWrapping"/>
        <w:t xml:space="preserve">asserted. It may be here regarded as introducing and softening a strong saying),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means of Abraham Levi also, who</w:t>
        <w:br w:type="textWrapping"/>
        <w:t xml:space="preserve">receiveth tithes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(who is the head and</w:t>
        <w:br w:type="textWrapping"/>
        <w:t xml:space="preserve">representative of the tithe-taking tribe.</w:t>
        <w:br w:type="textWrapping"/>
        <w:t xml:space="preserve">Indeed the name here is almost a collective</w:t>
        <w:br w:type="textWrapping"/>
        <w:t xml:space="preserve">one, the personal reference being taken up</w:t>
        <w:br w:type="textWrapping"/>
        <w:t xml:space="preserve">in the next clause),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hath been taken tithes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the perfect, see above, ver. 6).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 For he was yet in the loins of his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his forefather, Abraham: for</w:t>
        <w:br w:type="textWrapping"/>
        <w:t xml:space="preserve">Isaac was not yet born, much less Jacob.</w:t>
        <w:br w:type="textWrapping"/>
        <w:t xml:space="preserve">On the expression, compare ver. 5),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</w:t>
        <w:br w:type="textWrapping"/>
        <w:t xml:space="preserve">Melchisedec met him.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11–25.]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Further proof of the perfection of Christ's priesthood,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compared</w:t>
        <w:br w:type="textWrapping"/>
        <w:t xml:space="preserve">with the Levitical: (11–14)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that He</w:t>
        <w:br w:type="textWrapping"/>
        <w:t xml:space="preserve">sprang from a tribe not recognized as a</w:t>
        <w:br w:type="textWrapping"/>
        <w:t xml:space="preserve">priestly one by the law, thus setting aside</w:t>
        <w:br w:type="textWrapping"/>
        <w:t xml:space="preserve">the law: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(15—19)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that He was constituted priest not after the law of a</w:t>
        <w:br w:type="textWrapping"/>
        <w:t xml:space="preserve">carnal commandment, but after the power</w:t>
        <w:br w:type="textWrapping"/>
        <w:t xml:space="preserve">of an endless life, thus impugning the</w:t>
        <w:br w:type="textWrapping"/>
        <w:t xml:space="preserve">former commandment as weak and unprofitable: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(20—22)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that He was made</w:t>
        <w:br w:type="textWrapping"/>
        <w:t xml:space="preserve">with an oath, they without one: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(23, 21)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that they by reason of their transitoriness were many, whereas He was one and</w:t>
        <w:br w:type="textWrapping"/>
        <w:t xml:space="preserve">unchangeable.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If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takes up the reasoning, not from the point immediately</w:t>
        <w:br w:type="textWrapping"/>
        <w:t xml:space="preserve">preceding, but from the main line of argume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of which what has just preceded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merely a co-ordinate illustration. So that it is not necessary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 here, as some have attempted to do,</w:t>
        <w:br w:type="textWrapping"/>
        <w:t xml:space="preserve">from what point in the preceding chapters</w:t>
        <w:br w:type="textWrapping"/>
        <w:t xml:space="preserve">the reasoning is resumed. The main line</w:t>
        <w:br w:type="textWrapping"/>
        <w:t xml:space="preserve">of thought is again referred to, dependently</w:t>
        <w:br w:type="textWrapping"/>
        <w:t xml:space="preserve">on the promise of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4, as made to our</w:t>
        <w:br w:type="textWrapping"/>
        <w:t xml:space="preserve">Lord and verified in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the widest sense: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bringing of man to</w:t>
        <w:br w:type="textWrapping"/>
        <w:t xml:space="preserve">his highest 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that of salvation and</w:t>
        <w:br w:type="textWrapping"/>
        <w:t xml:space="preserve">sanctification: see on ver.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by</w:t>
        <w:br w:type="textWrapping"/>
        <w:t xml:space="preserve">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(could be brought about by the</w:t>
        <w:br w:type="textWrapping"/>
        <w:t xml:space="preserve">instrumentality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Levitical priesthood,—for upon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Levitical</w:t>
        <w:br w:type="textWrapping"/>
        <w:t xml:space="preserve">priesthood: not, as many Commentators,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sake of obtaining perfection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</w:t>
        <w:br w:type="textWrapping"/>
        <w:t xml:space="preserve">the various meanings assigned, see the</w:t>
        <w:br w:type="textWrapping"/>
        <w:t xml:space="preserve">note in my Greek Test. If we consider</w:t>
        <w:br w:type="textWrapping"/>
        <w:t xml:space="preserve">the priesthood as the basis on which the</w:t>
        <w:br w:type="textWrapping"/>
        <w:t xml:space="preserve">law was constructed, so that not the</w:t>
        <w:br w:type="textWrapping"/>
        <w:t xml:space="preserve">priests only,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[compare</w:t>
        <w:br w:type="textWrapping"/>
        <w:t xml:space="preserve">the same, in ch. ix. 19] were involved in</w:t>
        <w:br w:type="textWrapping"/>
        <w:t xml:space="preserve">the question of the dignity and finality of</w:t>
        <w:br w:type="textWrapping"/>
        <w:t xml:space="preserve">the priesthood, then a sufficient reason</w:t>
        <w:br w:type="textWrapping"/>
        <w:t xml:space="preserve">seems to he gained for inserting this parenthesis: as if it were said, not only they,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system of which the priesthood</w:t>
        <w:br w:type="textWrapping"/>
        <w:t xml:space="preserve">was the basis and centre)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people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received 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perfect is used, as indicating the fact that</w:t>
        <w:br w:type="textWrapping"/>
        <w:t xml:space="preserve">the people was still remaining, and observing the law),—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farther need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(what need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that,—any</w:t>
        <w:br w:type="textWrapping"/>
        <w:t xml:space="preserve">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being 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a different</w:t>
        <w:br w:type="textWrapping"/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(more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“another”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only another, but of a different kind)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/fTGdcQSCFUTfMU7ENfzvtB7VQ==">CgMxLjA4AHIhMUpzLXNYNlg3VXFxbTY0ZTNaWXZhU3FkaG1RQXFSYVRk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