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(equivalent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“after the order</w:t>
        <w:br w:type="textWrapping"/>
        <w:t xml:space="preserve">of”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before)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Melchisedec ariseth a different</w:t>
        <w:br w:type="textWrapping"/>
        <w:t xml:space="preserve">priest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Christ, not Melchisedec),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is</w:t>
        <w:br w:type="textWrapping"/>
        <w:t xml:space="preserve">appointed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(hath become priest),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according to the law of a carnal commandment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not in accordance with, following out,</w:t>
        <w:br w:type="textWrapping"/>
        <w:t xml:space="preserve">the rule and order of an exterior ordinance</w:t>
        <w:br w:type="textWrapping"/>
        <w:t xml:space="preserve">founded on the present: fleshly and decaying state of things),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according to the power of an indissoluble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two</w:t>
        <w:br w:type="textWrapping"/>
        <w:t xml:space="preserve">clauses closely correspond in rhythm, as is</w:t>
        <w:br w:type="textWrapping"/>
        <w:t xml:space="preserve">much the practice of the Writer.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spoken of does not, however,</w:t>
        <w:br w:type="textWrapping"/>
        <w:t xml:space="preserve">strictly correspond, in its relation to the</w:t>
        <w:br w:type="textWrapping"/>
        <w:t xml:space="preserve">priesthood spoken of, with “the law of a</w:t>
        <w:br w:type="textWrapping"/>
        <w:t xml:space="preserve">carnal commandment” above. That was</w:t>
        <w:br w:type="textWrapping"/>
        <w:t xml:space="preserve">the rule, by and after which the priesthood</w:t>
        <w:br w:type="textWrapping"/>
        <w:t xml:space="preserve">constituted: this, the vigour inherent</w:t>
        <w:br w:type="textWrapping"/>
        <w:t xml:space="preserve">in the glorious priesthood of Christ,—for it</w:t>
        <w:br w:type="textWrapping"/>
        <w:t xml:space="preserve">is of His enduring Melchisedec-priesthood</w:t>
        <w:br w:type="textWrapping"/>
        <w:t xml:space="preserve">in glory that this is spoken—to endure for</w:t>
        <w:br w:type="textWrapping"/>
        <w:t xml:space="preserve">ever. Some have thought the power to be,</w:t>
        <w:br w:type="textWrapping"/>
        <w:t xml:space="preserve">Christ’s power to confer life on other:</w:t>
        <w:br w:type="textWrapping"/>
        <w:t xml:space="preserve">others the enduring nature of the divine</w:t>
        <w:br w:type="textWrapping"/>
        <w:t xml:space="preserve">decree which constituted this priesthood:</w:t>
        <w:br w:type="textWrapping"/>
        <w:t xml:space="preserve">but both are shewn to be wrong by the</w:t>
        <w:br w:type="textWrapping"/>
        <w:t xml:space="preserve">next verse, in which the enduringness of</w:t>
        <w:br w:type="textWrapping"/>
        <w:t xml:space="preserve">the priesthood is the point brought out).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Proof of the last clause from</w:t>
        <w:br w:type="textWrapping"/>
        <w:t xml:space="preserve">Scripture.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stress of the citation is 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ever. For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different priest)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</w:t>
        <w:br w:type="textWrapping"/>
        <w:t xml:space="preserve">borne witness of, that thou art a priest for</w:t>
        <w:br w:type="textWrapping"/>
        <w:t xml:space="preserve">ever after the order of Melchisedec.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18,19.]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verses belong to the proof</w:t>
        <w:br w:type="textWrapping"/>
        <w:t xml:space="preserve">of 15–17, expanding the conclusion thence</w:t>
        <w:br w:type="textWrapping"/>
        <w:t xml:space="preserve">derived, and expressing it more decidedly</w:t>
        <w:br w:type="textWrapping"/>
        <w:t xml:space="preserve">than before in ver. 12.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{18} For moreover there takes place an abrogation of the</w:t>
        <w:br w:type="textWrapping"/>
        <w:t xml:space="preserve">preceding commandment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 intended is that mentioned in ver. 16,</w:t>
        <w:br w:type="textWrapping"/>
        <w:t xml:space="preserve">according to which the priesthood was constituted, not, as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rysostom and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think, the whole Mosaic law, however</w:t>
        <w:br w:type="textWrapping"/>
        <w:t xml:space="preserve">much that may be involved in the 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rtion: compare the parenthesis in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commandment went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erely in time, but was an introduction</w:t>
        <w:br w:type="textWrapping"/>
        <w:t xml:space="preserve">to and gave way before the greater and</w:t>
        <w:br w:type="textWrapping"/>
        <w:t xml:space="preserve">final ordinance)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 account of its weakness and unprofitableness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(Rom. viii. 3,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Gal. iv. 9, is remarkably parallel, both</w:t>
        <w:br w:type="textWrapping"/>
        <w:t xml:space="preserve">in thought and mode of expression: one</w:t>
        <w:br w:type="textWrapping"/>
        <w:t xml:space="preserve">of those coincidences which could hardly</w:t>
        <w:br w:type="textWrapping"/>
        <w:t xml:space="preserve">take place where there was not community</w:t>
        <w:br w:type="textWrapping"/>
        <w:t xml:space="preserve">of thought and diction),—{19}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law</w:t>
        <w:br w:type="textWrapping"/>
        <w:t xml:space="preserve">perfected nothing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parenthetical clause</w:t>
        <w:br w:type="textWrapping"/>
        <w:t xml:space="preserve">inserted to explain the implication contained in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weakness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unprofitableness thereof.”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law had not</w:t>
        <w:br w:type="textWrapping"/>
        <w:t xml:space="preserve">the power to bring any thing whatever to</w:t>
        <w:br w:type="textWrapping"/>
        <w:t xml:space="preserve">perfection, to its appointed end and excellence:—perfection, in any kind, was</w:t>
        <w:br w:type="textWrapping"/>
        <w:t xml:space="preserve">not by the law),—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an 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bringing in besides: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law being already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there, this is brought in to and upon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 better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contrast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etween</w:t>
        <w:br w:type="textWrapping"/>
        <w:t xml:space="preserve">the preceding commandment, weak and</w:t>
        <w:br w:type="textWrapping"/>
        <w:t xml:space="preserve">unprofitable, and a better thing, viz.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brings us near to God),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  <w:br w:type="textWrapping"/>
        <w:t xml:space="preserve">means of which we draw near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note, of personal access to God, has been</w:t>
        <w:br w:type="textWrapping"/>
        <w:t xml:space="preserve">twice struck before, ch. iv. 16; vi. 19, and</w:t>
        <w:br w:type="textWrapping"/>
        <w:t xml:space="preserve">is further on in the Epistle expanded into</w:t>
        <w:br w:type="textWrapping"/>
        <w:t xml:space="preserve">a whole strain of argument. See ch. ix.</w:t>
        <w:br w:type="textWrapping"/>
        <w:t xml:space="preserve">11 ff.; x.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It is that access, which</w:t>
        <w:br w:type="textWrapping"/>
        <w:t xml:space="preserve">was only carnally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symbolically 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them by shedding of the blood of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rifices, but has been spiritually and really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DQ2SFd7fVIXrP6doHL+8LPpyw==">CgMxLjA4AHIhMUVqMmFlbTVqYUVaZFROWE9Qb0RGN0VBYm5XMWdFUlJQ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