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(justifies the assertion by the following citation)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heed, He says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there can be no doubt of this here, where</w:t>
        <w:br w:type="textWrapping"/>
        <w:t xml:space="preserve">the words following are God’s own),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thou makest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is not in</w:t>
        <w:br w:type="textWrapping"/>
        <w:t xml:space="preserve">the Sept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nor in the Hebrew, but is</w:t>
        <w:br w:type="textWrapping"/>
        <w:t xml:space="preserve">supplied also by Philo)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the</w:t>
        <w:br w:type="textWrapping"/>
        <w:t xml:space="preserve">pattern which was shewn thee in the</w:t>
        <w:br w:type="textWrapping"/>
        <w:t xml:space="preserve">mount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now we ask what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was, we are met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 various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replies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Faber Stapulensis interprets it, “that</w:t>
        <w:br w:type="textWrapping"/>
        <w:t xml:space="preserve">what wa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shewn to Moses in the mount</w:t>
        <w:br w:type="textWrapping"/>
        <w:t xml:space="preserve">was not the truth itself, but only an adumbration and idea of it.” And so Schlichting, concluding, “so that the ancient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only an example of an</w:t>
        <w:br w:type="textWrapping"/>
        <w:t xml:space="preserve">example, and a shadow of a shadow.”</w:t>
        <w:br w:type="textWrapping"/>
        <w:t xml:space="preserve">This view is strongly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ntroverted by</w:t>
        <w:br w:type="textWrapping"/>
        <w:t xml:space="preserve">Delitzsch, who takes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</w:t>
        <w:br w:type="textWrapping"/>
        <w:t xml:space="preserve">the veritable heavenly things themselves,</w:t>
        <w:br w:type="textWrapping"/>
        <w:t xml:space="preserve">not seen however by Moses directly and</w:t>
        <w:br w:type="textWrapping"/>
        <w:t xml:space="preserve">naturally, which would be impossible, but</w:t>
        <w:br w:type="textWrapping"/>
        <w:t xml:space="preserve">made visible to him in a vision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do</w:t>
        <w:br w:type="textWrapping"/>
        <w:t xml:space="preserve">not see that there is much to choose</w:t>
        <w:br w:type="textWrapping"/>
        <w:t xml:space="preserve">between the two views. If the latter be</w:t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ken, then surely the vision thus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vouchsafed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Moses was itself only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intermediate representation,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this view</w:t>
        <w:br w:type="textWrapping"/>
        <w:t xml:space="preserve">comes much to the same as the other.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But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logical, not the</w:t>
        <w:br w:type="textWrapping"/>
        <w:t xml:space="preserve">temporal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ch. ix.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xi. 16,</w:t>
        <w:br w:type="textWrapping"/>
        <w:t xml:space="preserve">and frequently in St. Paul, meaning, “as</w:t>
        <w:br w:type="textWrapping"/>
        <w:t xml:space="preserve">the fact really is”) 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 hath obtained</w:t>
        <w:br w:type="textWrapping"/>
        <w:t xml:space="preserve">a more excellent 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(than that of</w:t>
        <w:br w:type="textWrapping"/>
        <w:t xml:space="preserve">any earthly priests),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proportion as He</w:t>
        <w:br w:type="textWrapping"/>
        <w:t xml:space="preserve">is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introducing a special reference to an already acknowledged fact,</w:t>
        <w:br w:type="textWrapping"/>
        <w:t xml:space="preserve">as in ch. vi. 7, where see 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mediator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meaning of the word is, one who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ecomes a goer between two persons, assuring to each the consent of the other to</w:t>
        <w:br w:type="textWrapping"/>
        <w:t xml:space="preserve">some point agreed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common. The</w:t>
        <w:br w:type="textWrapping"/>
        <w:t xml:space="preserve">genitive after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mediator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either be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persons between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1 Tim. 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5: or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of the parties concerned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or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object of the mediation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</w:t>
        <w:br w:type="textWrapping"/>
        <w:t xml:space="preserve">agreement or covenant. And in this last</w:t>
        <w:br w:type="textWrapping"/>
        <w:t xml:space="preserve">sense is the genitive here. Jesus is the</w:t>
        <w:br w:type="textWrapping"/>
        <w:t xml:space="preserve">inediator, between God and us) 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 a better</w:t>
        <w:br w:type="textWrapping"/>
        <w:t xml:space="preserve">covenant, of one which has been laid</w:t>
        <w:br w:type="textWrapping"/>
        <w:t xml:space="preserve">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 has 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law-given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</w:t>
        <w:br w:type="textWrapping"/>
        <w:t xml:space="preserve">enacted: see on cb. vii. 11.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also used of the new covenant by</w:t>
        <w:br w:type="textWrapping"/>
        <w:t xml:space="preserve">St. James, i. 25; ii. 12: see also iv. 12, </w:t>
        <w:br w:type="textWrapping"/>
        <w:t xml:space="preserve">and St. Paul, Rom. iii. 27; viii. 2; ix.31)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(on the condition of)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better promises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(viz. those which are about to be particularized in the following citation. Theodoret says, “For the old covenant had</w:t>
        <w:br w:type="textWrapping"/>
        <w:t xml:space="preserve">joined to it material promises, a land</w:t>
        <w:br w:type="textWrapping"/>
        <w:t xml:space="preserve">flowing with milk and honey, and abundance of children, and the like: but the</w:t>
        <w:br w:type="textWrapping"/>
        <w:t xml:space="preserve">new has eternal life, and the kingdom of</w:t>
        <w:br w:type="textWrapping"/>
        <w:t xml:space="preserve">heaven.” But as Bleek objects, it would</w:t>
        <w:br w:type="textWrapping"/>
        <w:t xml:space="preserve">be very improbable that the Writer should</w:t>
        <w:br w:type="textWrapping"/>
        <w:t xml:space="preserve">intend to refer the promises, on which the</w:t>
        <w:br w:type="textWrapping"/>
        <w:t xml:space="preserve">old covenant was based, to mere earthly</w:t>
        <w:br w:type="textWrapping"/>
        <w:t xml:space="preserve">blessings, in the face of such a designation of the hope of Abraham and the</w:t>
        <w:br w:type="textWrapping"/>
        <w:t xml:space="preserve">patriarchs, as we find in ch. xi. 10—19).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Argumentation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exactly as in ch. vii. </w:t>
        <w:br w:type="textWrapping"/>
        <w:t xml:space="preserve">11,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sayings of God, to shew the</w:t>
        <w:br w:type="textWrapping"/>
        <w:t xml:space="preserve">imperfection of the former covenant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if that 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(covenant)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had</w:t>
        <w:br w:type="textWrapping"/>
        <w:t xml:space="preserve">been)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blameless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(without defect in that</w:t>
        <w:br w:type="textWrapping"/>
        <w:t xml:space="preserve">for which a covenant with God is intended.</w:t>
        <w:br w:type="textWrapping"/>
        <w:t xml:space="preserve">It is the contrary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weak and profitless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ch. vii. 18),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place would not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(not, would not have been)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sought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</w:t>
        <w:br w:type="textWrapping"/>
        <w:t xml:space="preserve">space opened, viz. in the words of the following prophecy, which indicate the substitution of such a covenant for the old one.</w:t>
        <w:br w:type="textWrapping"/>
        <w:t xml:space="preserve">Bleek gives a rather far-fetched interpretation,—that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the place in men’s</w:t>
        <w:br w:type="textWrapping"/>
        <w:t xml:space="preserve">hearts, as distinguished from the tables of</w:t>
        <w:br w:type="textWrapping"/>
        <w:t xml:space="preserve">stone on which the first covenant was</w:t>
        <w:br w:type="textWrapping"/>
        <w:t xml:space="preserve">written; referring to 2 Cor. iii. 3 for a</w:t>
        <w:br w:type="textWrapping"/>
        <w:t xml:space="preserve">similar distinction. But it is far better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J1WvdqTOhbx8gowRQWeYivAsfw==">CgMxLjA4AHIhMXotMkxpVDdZZkZHVTBFOW5SNTR6WVBxLVJSOS04TW54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