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liturgical appliances were first provided.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prefer the other view)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well</w:t>
        <w:br w:type="textWrapping"/>
        <w:t xml:space="preserve">as this second and more perfect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ant:</w:t>
        <w:br w:type="textWrapping"/>
        <w:t xml:space="preserve">not that this has all the things below mentioned, but that it too possesses its corresponding liturgical appliances, though of a</w:t>
        <w:br w:type="textWrapping"/>
        <w:t xml:space="preserve">higher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ordinances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(“the old covenant also had liturgical ordinances, which</w:t>
        <w:br w:type="textWrapping"/>
        <w:t xml:space="preserve">were of divine right, ordinances which</w:t>
        <w:br w:type="textWrapping"/>
        <w:t xml:space="preserve">rested their obligatory right upon revelation from God and declaration of His will.”</w:t>
        <w:br w:type="textWrapping"/>
        <w:t xml:space="preserve">Delitzsch)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service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worship: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 and note),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worldly sanctuary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 whole pass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age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treats of the distinction between the two</w:t>
        <w:br w:type="textWrapping"/>
        <w:t xml:space="preserve">san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aries, one into which the Levitical</w:t>
        <w:br w:type="textWrapping"/>
        <w:t xml:space="preserve">priests entered, and the other into which</w:t>
        <w:br w:type="textWrapping"/>
        <w:t xml:space="preserve">Christ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entered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 certain that the signification must be local only.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worldly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‘mundane,’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belonging to this world. It stands opposed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heavenly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is an epithet distinguishing the sanctuary of the</w:t>
        <w:br w:type="textWrapping"/>
        <w:t xml:space="preserve">first covenant from that of the second, not</w:t>
        <w:br w:type="textWrapping"/>
        <w:t xml:space="preserve">one common to the two. This is also shewn</w:t>
        <w:br w:type="textWrapping"/>
        <w:t xml:space="preserve">by the article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first covenant had</w:t>
        <w:br w:type="textWrapping"/>
        <w:t xml:space="preserve">not merely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worldly sanctuary, but the</w:t>
        <w:br w:type="textWrapping"/>
        <w:t xml:space="preserve">only sanctuary which was upon earth:</w:t>
        <w:br w:type="textWrapping"/>
        <w:t xml:space="preserve">that one which was constructed after the</w:t>
        <w:br w:type="textWrapping"/>
        <w:t xml:space="preserve">pattern of things in the heavens).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2–5.]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Explanatory of the worldly</w:t>
        <w:br w:type="textWrapping"/>
        <w:t xml:space="preserve">sanctuary by a particular detail.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</w:t>
        <w:br w:type="textWrapping"/>
        <w:t xml:space="preserve">the tabernacle was established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(set up</w:t>
        <w:br w:type="textWrapping"/>
        <w:t xml:space="preserve">as a tent),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first 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situation to</w:t>
        <w:br w:type="textWrapping"/>
        <w:t xml:space="preserve">those entering: see Acts xvi. 12 note),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  <w:br w:type="textWrapping"/>
        <w:t xml:space="preserve">which were the candlestick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(with seven</w:t>
        <w:br w:type="textWrapping"/>
        <w:t xml:space="preserve">lights: of gold, carved with almond flowers,</w:t>
        <w:br w:type="textWrapping"/>
        <w:t xml:space="preserve">pomegranates, and lilies: see Exod. xxv.</w:t>
        <w:br w:type="textWrapping"/>
        <w:t xml:space="preserve">31–39, xxxvii. 17–24. There were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these in the Temple of Solomon, see</w:t>
        <w:br w:type="textWrapping"/>
        <w:t xml:space="preserve">1 Kings vii. 49; 2 Chron. iv. 7: but</w:t>
        <w:br w:type="textWrapping"/>
        <w:t xml:space="preserve">in the second Temple, the Mosaic regulation was returned to,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only one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placed in the tabernacle: see 1 Macc. i. 21,</w:t>
        <w:br w:type="textWrapping"/>
        <w:t xml:space="preserve">iv. 49. Josephus describes Vespasian's triumph, and the candlestick us borne in it,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is now to be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 in relief on the</w:t>
        <w:br w:type="textWrapping"/>
        <w:t xml:space="preserve">arch of Titus at Rome),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table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(for</w:t>
        <w:br w:type="textWrapping"/>
        <w:t xml:space="preserve">the shewbread: of shittim [acacia?] wood,</w:t>
        <w:br w:type="textWrapping"/>
        <w:t xml:space="preserve">over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 with gold, Exod. xxv. 23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30,</w:t>
        <w:br w:type="textWrapping"/>
        <w:t xml:space="preserve">xxxvii. 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16, of which there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</w:t>
        <w:br w:type="textWrapping"/>
        <w:t xml:space="preserve">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Mosaic tabernacle, and in the</w:t>
        <w:br w:type="textWrapping"/>
        <w:t xml:space="preserve">second temple [1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above],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Solomon’s temple, see 2 Chron. iv. 8; also ib.</w:t>
        <w:br w:type="textWrapping"/>
        <w:t xml:space="preserve">ver. 19; 1 Chron. xxviii. 16; 1 Kings vii.</w:t>
        <w:br w:type="textWrapping"/>
        <w:t xml:space="preserve">48),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the shew of the bread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literally.</w:t>
        <w:br w:type="textWrapping"/>
        <w:t xml:space="preserve">There can be little doubt that Tholuck and</w:t>
        <w:br w:type="textWrapping"/>
        <w:t xml:space="preserve">Delitzsch are right, who understand this</w:t>
        <w:br w:type="textWrapping"/>
        <w:t xml:space="preserve">not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custom of exhibiting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bread,</w:t>
        <w:br w:type="textWrapping"/>
        <w:t xml:space="preserve">but, seeing that the Writer is speaking of</w:t>
        <w:br w:type="textWrapping"/>
        <w:t xml:space="preserve">concrete objects, as the heap of bread itself</w:t>
        <w:br w:type="textWrapping"/>
        <w:t xml:space="preserve">thus exhibited);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</w:t>
        <w:br w:type="textWrapping"/>
        <w:t xml:space="preserve">tabernacle namely, which”)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called the</w:t>
        <w:br w:type="textWrapping"/>
        <w:t xml:space="preserve">holy place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places or parts: there</w:t>
        <w:br w:type="textWrapping"/>
        <w:t xml:space="preserve">is no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substantive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expressed).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 But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bringing out by anticipation the same</w:t>
        <w:br w:type="textWrapping"/>
        <w:t xml:space="preserve">contrast which we have in vv. 6, 7)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in entering: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“behind,”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we should</w:t>
        <w:br w:type="textWrapping"/>
        <w:t xml:space="preserve">say, if regarding it ‘in situ’)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second veil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(or curtain hanging before the sanctuary.</w:t>
        <w:br w:type="textWrapping"/>
        <w:t xml:space="preserve">There were in reality two of these, as described in Exod. xxvi. 31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37: one before the</w:t>
        <w:br w:type="textWrapping"/>
        <w:t xml:space="preserve">holy of holies itself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other</w:t>
        <w:br w:type="textWrapping"/>
        <w:t xml:space="preserve">before the tabernacle door [vv. 36, 37])</w:t>
        <w:br w:type="textWrapping"/>
        <w:t xml:space="preserve">the (not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tabernacle which</w:t>
        <w:br w:type="textWrapping"/>
        <w:t xml:space="preserve">is called holy of holies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holies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golden censer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[or,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altar of incense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(there is considerable</w:t>
        <w:br w:type="textWrapping"/>
        <w:t xml:space="preserve">difficulty here. The word used may</w:t>
        <w:br w:type="textWrapping"/>
        <w:t xml:space="preserve">mean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altar upon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censer in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incense was burnt. On</w:t>
        <w:br w:type="textWrapping"/>
        <w:t xml:space="preserve">the side of the latter meaning it is remarkable, that much stress is laid by the</w:t>
        <w:br w:type="textWrapping"/>
        <w:t xml:space="preserve">Mischna upon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censer to be used on the</w:t>
        <w:br w:type="textWrapping"/>
        <w:t xml:space="preserve">day of expiation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distinguished from</w:t>
        <w:br w:type="textWrapping"/>
        <w:t xml:space="preserve">that used on any other day: on the fact of</w:t>
        <w:br w:type="textWrapping"/>
        <w:t xml:space="preserve">its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of a particular and</w:t>
        <w:br w:type="textWrapping"/>
        <w:t xml:space="preserve">precious kind of gold. But if this latter</w:t>
        <w:br w:type="textWrapping"/>
        <w:t xml:space="preserve">interpretation be adopted, we are involved</w:t>
        <w:br w:type="textWrapping"/>
        <w:t xml:space="preserve">in the following difficulty.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golden</w:t>
        <w:br w:type="textWrapping"/>
        <w:t xml:space="preserve">censer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nowhere named in the law: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1-14T21:00:14Z"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Hebrews 8:2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sBQJoOAQHz/ZSmXLP0vxCwUahQ==">CgMxLjAaJwoBMBIiCiAIBCocCgtBQUFCQW9IdEhQcxAIGgtBQUFCQW9IdEhQcyKcAgoLQUFBQkFvSHRIUHMS6gEKC0FBQUJBb0h0SFBzEgtBQUFCQW9IdEhQcxocCgl0ZXh0L2h0bWwSD1RhZyBIZWJyZXdzIDg6MiIdCgp0ZXh0L3BsYWluEg9UYWcgSGVicmV3cyA4OjIqGyIVMTEzOTU4Mjg3NTk2MTAyNDYxNzUyKAA4ADCx+In9vDE4sfiJ/bwxSjAKCnRleHQvcGxhaW4SIkZvcgt0aGUgdGFiZXJuYWNsZSB3YXMgZXN0YWJsaXNoZWRaCzgyOW1wdmp2eTBtcgIgAHgAmgEGCAAQABgAqgEREg9UYWcgSGVicmV3cyA4OjKwAQC4AQAYsfiJ/bwxILH4if28MTAAQhBraXguY2JhdzN6cTQ4MGM1OAByITFCT1lLVlMzSkdiZXpLamZxaUhrc0R4Nm5BeTJsajdE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