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given to it when we reflect that it is especially of the day of expiation that our Writer is preparing to speak. 3) The</w:t>
        <w:br w:type="textWrapping"/>
        <w:t xml:space="preserve">word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golden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should not be overlooked in</w:t>
        <w:br w:type="textWrapping"/>
        <w:t xml:space="preserve">the consideration. When the ark of the</w:t>
        <w:br w:type="textWrapping"/>
        <w:t xml:space="preserve">covenant by and by is spoken of, which</w:t>
        <w:br w:type="textWrapping"/>
        <w:t xml:space="preserve">like the altar of incense was overlaid with</w:t>
        <w:br w:type="textWrapping"/>
        <w:t xml:space="preserve">gold, it is not said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golden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but only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“overlaid all round with gold.”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this</w:t>
        <w:br w:type="textWrapping"/>
        <w:t xml:space="preserve">predicate being thus emphatically thrown</w:t>
        <w:br w:type="textWrapping"/>
        <w:t xml:space="preserve">forward, it is hardly possible to help feeling</w:t>
        <w:br w:type="textWrapping"/>
        <w:t xml:space="preserve">that a stress is laid on it, and it is not</w:t>
        <w:br w:type="textWrapping"/>
        <w:t xml:space="preserve">used without design. And if we enquire</w:t>
        <w:br w:type="textWrapping"/>
        <w:t xml:space="preserve">what this design is, we can hardly find</w:t>
        <w:br w:type="textWrapping"/>
        <w:t xml:space="preserve">fault with the reply which says that it is</w:t>
        <w:br w:type="textWrapping"/>
        <w:t xml:space="preserve">to distinguish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golden censer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from some</w:t>
        <w:br w:type="textWrapping"/>
        <w:t xml:space="preserve">other kinds of censers. 4) On the whole</w:t>
        <w:br w:type="textWrapping"/>
        <w:t xml:space="preserve">then I should say that the balance inclines towards the “censer” interpretation,</w:t>
        <w:br w:type="textWrapping"/>
        <w:t xml:space="preserve">though I do not feel by any means that</w:t>
        <w:br w:type="textWrapping"/>
        <w:t xml:space="preserve">the difficulty is removed, and should hail</w:t>
        <w:br w:type="textWrapping"/>
        <w:t xml:space="preserve">any new solution which might clear it still</w:t>
        <w:br w:type="textWrapping"/>
        <w:t xml:space="preserve">further),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 ark of the covenant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</w:t>
        <w:br w:type="textWrapping"/>
        <w:t xml:space="preserve">Exod. xxv. 10 ff., xxxvii. 1 ff.: called by</w:t>
        <w:br w:type="textWrapping"/>
        <w:t xml:space="preserve">this name, Josh. iii. 6 and in other places)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covered round on all sides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“within and</w:t>
        <w:br w:type="textWrapping"/>
        <w:t xml:space="preserve">without,”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Exod. xxv. 11)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with gold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ark, a chest, was of shittim [acacia] wood,</w:t>
        <w:br w:type="textWrapping"/>
        <w:t xml:space="preserve">overlaid with plates of fine gold, Exod. as</w:t>
        <w:br w:type="textWrapping"/>
        <w:t xml:space="preserve">above. The ark of the covenant was in the</w:t>
        <w:br w:type="textWrapping"/>
        <w:t xml:space="preserve">Holy of holies in the Mosaic tabernacle,</w:t>
        <w:br w:type="textWrapping"/>
        <w:t xml:space="preserve">and in the temple of Solomon, 1 Kings</w:t>
        <w:br w:type="textWrapping"/>
        <w:t xml:space="preserve">viii. 4,6. In the sack by the Chaldeans,</w:t>
        <w:br w:type="textWrapping"/>
        <w:t xml:space="preserve">it disappeared. See a legend respecting its</w:t>
        <w:br w:type="textWrapping"/>
        <w:t xml:space="preserve">fate in 2 Macc. ii, 1—8, where curiously</w:t>
        <w:br w:type="textWrapping"/>
        <w:t xml:space="preserve">enough “the tabernacle, and the ark, and</w:t>
        <w:br w:type="textWrapping"/>
        <w:t xml:space="preserve">the altar of incense,” are classed together.</w:t>
        <w:br w:type="textWrapping"/>
        <w:t xml:space="preserve">The second temple did not contain it, but</w:t>
        <w:br w:type="textWrapping"/>
        <w:t xml:space="preserve">it was represented by a stone basement</w:t>
        <w:br w:type="textWrapping"/>
        <w:t xml:space="preserve">three fingers high, called “the stone of</w:t>
        <w:br w:type="textWrapping"/>
        <w:t xml:space="preserve">foundation”),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 golden</w:t>
        <w:br w:type="textWrapping"/>
        <w:t xml:space="preserve">pot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(Ex. xvi. 32–34. The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“golden”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added by the Septuagint: so also Philo:</w:t>
        <w:br w:type="textWrapping"/>
        <w:t xml:space="preserve">the Hetrew has merely “a pot,” as A. V.)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containing the manna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(viz. an omer,</w:t>
        <w:br w:type="textWrapping"/>
        <w:t xml:space="preserve">each man's daily share laid up for a memorial, see Exod. xvi. 32 with ib. 16. That</w:t>
        <w:br w:type="textWrapping"/>
        <w:t xml:space="preserve">this pot was to be placed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the 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is not</w:t>
        <w:br w:type="textWrapping"/>
        <w:t xml:space="preserve">said there, but it was gathered probably</w:t>
        <w:br w:type="textWrapping"/>
        <w:t xml:space="preserve">from the words “before the Lord.” In</w:t>
        <w:br w:type="textWrapping"/>
        <w:t xml:space="preserve">1 Kings viii. 9; 2 Chron. v. 10, it is stated</w:t>
        <w:br w:type="textWrapping"/>
        <w:t xml:space="preserve">that there was nothing in the ark 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Solomon’s temple, except the two tables</w:t>
        <w:br w:type="textWrapping"/>
        <w:t xml:space="preserve">which Moses put therein at Horeb. But</w:t>
        <w:br w:type="textWrapping"/>
        <w:t xml:space="preserve">this, as Delitzsch observes, will not prove</w:t>
        <w:br w:type="textWrapping"/>
        <w:t xml:space="preserve">any thing against the pot of manna and the</w:t>
        <w:br w:type="textWrapping"/>
        <w:t xml:space="preserve">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been there;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rather,</w:t>
        <w:br w:type="textWrapping"/>
        <w:t xml:space="preserve">from the express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declaration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there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nothing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tables of stone, it</w:t>
        <w:br w:type="textWrapping"/>
        <w:t xml:space="preserve">would seem that formerly there had been</w:t>
        <w:br w:type="textWrapping"/>
        <w:t xml:space="preserve">other things there.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Rabbis certainly</w:t>
        <w:br w:type="textWrapping"/>
        <w:t xml:space="preserve">treat of the pot of manna, as of the rod,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eing in the ark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 rod of Aaron</w:t>
        <w:br w:type="textWrapping"/>
        <w:t xml:space="preserve">which budded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Numb. xvii.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 It</w:t>
        <w:br w:type="textWrapping"/>
        <w:t xml:space="preserve">was to be laid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 “before the testimony,”</w:t>
        <w:br w:type="textWrapping"/>
        <w:t xml:space="preserve">in which Ben Gershom sees a proof that it</w:t>
        <w:br w:type="textWrapping"/>
        <w:t xml:space="preserve">was in the ark. The Gemara mentions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tradition that with the ark disappeared the</w:t>
        <w:br w:type="textWrapping"/>
        <w:t xml:space="preserve">pot of manna, and the cruse of anointing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il,</w:t>
        <w:br w:type="textWrapping"/>
        <w:t xml:space="preserve">and the rod of Aaron with its almonds and</w:t>
        <w:br w:type="textWrapping"/>
        <w:t xml:space="preserve">blossoms, and the chest which the Philistines sent for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trespass-offering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 Sam. vi.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4, 8),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the tables of the 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z.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tables of stone on which the ten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mandments were written by the finger of</w:t>
        <w:br w:type="textWrapping"/>
        <w:t xml:space="preserve">God, 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xxv. 16, xxxi. 18; Deut. x. 1—5; 1 Kings 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9; 2 Chron.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10, as</w:t>
        <w:br w:type="textWrapping"/>
        <w:t xml:space="preserve">above. It will he seen from these references,</w:t>
        <w:br w:type="textWrapping"/>
        <w:t xml:space="preserve">that these tables were ordered to be put in</w:t>
        <w:br w:type="textWrapping"/>
        <w:t xml:space="preserve">the ark);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5.] and over above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ark of the covenant)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cher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well-known fourfold animal forms, fen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from human approach, and at the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time bearing up and supporting the glory</w:t>
        <w:br w:type="textWrapping"/>
        <w:t xml:space="preserve">of God: symbolizing, as I believe and have</w:t>
        <w:br w:type="textWrapping"/>
        <w:t xml:space="preserve">elsewhere maintained [Hulsean Lectures</w:t>
        <w:br w:type="textWrapping"/>
        <w:t xml:space="preserve">for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Lect.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note on Rev.</w:t>
        <w:br w:type="textWrapping"/>
        <w:t xml:space="preserve">iv.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8],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creation of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more</w:t>
        <w:br w:type="textWrapping"/>
        <w:t xml:space="preserve">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glory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glory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the Shechinah,</w:t>
        <w:br w:type="textWrapping"/>
        <w:t xml:space="preserve">or bright cloud of glory, in which Jehovah</w:t>
        <w:br w:type="textWrapping"/>
        <w:t xml:space="preserve">appeared between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cherubim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forms, and</w:t>
        <w:br w:type="textWrapping"/>
        <w:t xml:space="preserve">to which, as attendants and watchers, and</w:t>
        <w:br w:type="textWrapping"/>
        <w:t xml:space="preserve">upholders, they belonged)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overshadowing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(casting shadow down upon, easing to be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shadowed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y-seat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mercy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Exod. xxv. 17: the 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assive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golden cover of the ark of the covenant,</w:t>
        <w:br w:type="textWrapping"/>
        <w:t xml:space="preserve">on which the glory of Jehovah appeared</w:t>
        <w:br w:type="textWrapping"/>
        <w:t xml:space="preserve">between the cherubim.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especially the blood of the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opitiatory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sacrifice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sprinkled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day of</w:t>
        <w:br w:type="textWrapping"/>
        <w:t xml:space="preserve">atonement, Levit. xvi. 15, and from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apparently, the propitiation</w:t>
        <w:br w:type="textWrapping"/>
        <w:t xml:space="preserve">taking pl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on it,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obtained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 name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+60913ZzWHRCi0+MOZWrKE5cWA==">CgMxLjA4AHIhMXlBUnhaZnU3WEhERU9Md2N2RVoxeUwySWpDR0xZQXNa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