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continues, “The material offerings of</w:t>
        <w:br w:type="textWrapping"/>
        <w:t xml:space="preserve">animals are only parables, referring to</w:t>
        <w:br w:type="textWrapping"/>
        <w:t xml:space="preserve">the time when that which is parabolically</w:t>
        <w:br w:type="textWrapping"/>
        <w:t xml:space="preserve">set forth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omes actual, and passes into</w:t>
        <w:br w:type="textWrapping"/>
        <w:t xml:space="preserve">reality. They are, considered of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ves, incapable of any action on the</w:t>
        <w:br w:type="textWrapping"/>
        <w:t xml:space="preserve">inner part of a man ; they are”);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only consisting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ambiguity of construction, see in my Greek</w:t>
        <w:br w:type="textWrapping"/>
        <w:t xml:space="preserve">Test.)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meats and drinks, and divers washings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(probably the Writer has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mind</w:t>
        <w:br w:type="textWrapping"/>
        <w:t xml:space="preserve">both the legal and the Talmudical conditions imposed upon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who served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See the very parallel place, Col. ii. 16. The</w:t>
        <w:br w:type="textWrapping"/>
        <w:t xml:space="preserve">law prescribed much about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ating : nothing:</w:t>
        <w:br w:type="textWrapping"/>
        <w:t xml:space="preserve">about drinking, except some general rules</w:t>
        <w:br w:type="textWrapping"/>
        <w:t xml:space="preserve">of uncleanness, such as 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34,—and in</w:t>
        <w:br w:type="textWrapping"/>
        <w:t xml:space="preserve">peculiar cases, such as the prohibition of</w:t>
        <w:br w:type="textWrapping"/>
        <w:t xml:space="preserve">wine to the Nazarite, Numb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3,—and to</w:t>
        <w:br w:type="textWrapping"/>
        <w:t xml:space="preserve">the priests when on actual service in the</w:t>
        <w:br w:type="textWrapping"/>
        <w:t xml:space="preserve">tabernacle, 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x. 9. But subsequent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usage added other ob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vances and precedents: as, e.g. Dan. i.</w:t>
        <w:br w:type="textWrapping"/>
        <w:t xml:space="preserve">8; Hagg.ii 13. See Matt. xxiii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24; Rom.</w:t>
        <w:br w:type="textWrapping"/>
        <w:t xml:space="preserve">xiv. 21. So there is no necessity to suppose that the allusion is to the feasts after</w:t>
        <w:br w:type="textWrapping"/>
        <w:t xml:space="preserve">sacrifice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xiii. 10], or to the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assover.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divers washings 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the</w:t>
        <w:br w:type="textWrapping"/>
        <w:t xml:space="preserve">washings ordained by the law,</w:t>
        <w:br w:type="textWrapping"/>
        <w:t xml:space="preserve">Exod. xxix. 4; Lev. xi. 25, 28,32,40; xiv. 6–9; xv. 5 ff.; xvi. 4,24 ff.; Numb. viii. 7; xix. 17 ff.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it seems likely that not the sacredotal washings, so much as those prescribed to or observed by the people, are mainly in view: such as those mentioned in Mark vii. 4),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ordinances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[the]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belonging to flesh, as opposed to spirit. They regarded material things, gifts, sacrifices, means, drinks, washings, which from their very nature could only affect the outward not the inward man).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imposed until the season of rectification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(i.e. when all these things would be better arranged, the substance put where the shadow was before, the sufficient grace where the insufficient type. The expression probably refers to ch. viii. 8 f.,—the time when God would make with His people a better covenant. I need hardly remind the reader who has kept pace with what has been said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time now present”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above that this time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reformation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one and the same with that. Those who give another meaning there, yet agree in referring these words to Christian times).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11, 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{11}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fulfilment of these types</w:t>
        <w:br w:type="textWrapping"/>
        <w:t xml:space="preserve">by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contrast is to the</w:t>
        <w:br w:type="textWrapping"/>
        <w:t xml:space="preserve">inef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ectiveness and the merely provisional</w:t>
        <w:br w:type="textWrapping"/>
        <w:t xml:space="preserve">nature of the Levitical offerings)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“Jesus” here: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cause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Writer</w:t>
        <w:br w:type="textWrapping"/>
        <w:t xml:space="preserve">will introduce with emphasis that name</w:t>
        <w:br w:type="textWrapping"/>
        <w:t xml:space="preserve">which carries with it the fulfilment of all</w:t>
        <w:br w:type="textWrapping"/>
        <w:t xml:space="preserve">type and prophecy. Nor ag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Christ,”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because he will not say that ‘the Messiah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come, but will use that well-known</w:t>
        <w:br w:type="textWrapping"/>
        <w:t xml:space="preserve">name as a personal name belonging to Him</w:t>
        <w:br w:type="textWrapping"/>
        <w:t xml:space="preserve">whom now all Christians know by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  <w:br w:type="textWrapping"/>
        <w:t xml:space="preserve">appeared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verb here used is the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</w:t>
        <w:br w:type="textWrapping"/>
        <w:t xml:space="preserve">word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forward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a historical person: appear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 on the</w:t>
        <w:br w:type="textWrapping"/>
        <w:t xml:space="preserve">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 of the world. And it is of this</w:t>
        <w:br w:type="textWrapping"/>
        <w:t xml:space="preserve">appearance of Christ in history that the</w:t>
        <w:br w:type="textWrapping"/>
        <w:t xml:space="preserve">word is here used. That appearance was</w:t>
        <w:br w:type="textWrapping"/>
        <w:t xml:space="preserve">the point of demarcation between prophecy and fulfilment, between the old</w:t>
        <w:br w:type="textWrapping"/>
        <w:t xml:space="preserve">covenant and the new. So that the expression is rather to be taken of the whole</w:t>
        <w:br w:type="textWrapping"/>
        <w:t xml:space="preserve">accomplished course of Christ summed up</w:t>
        <w:br w:type="textWrapping"/>
        <w:t xml:space="preserve">in one, than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of His first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arnation</w:t>
        <w:br w:type="textWrapping"/>
        <w:t xml:space="preserve">upon earth, or of His full inauguration</w:t>
        <w:br w:type="textWrapping"/>
        <w:t xml:space="preserve">into His Mel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hisedec High Priesthood in</w:t>
        <w:br w:type="textWrapping"/>
        <w:t xml:space="preserve">heaven)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High Priest of the good things</w:t>
        <w:br w:type="textWrapping"/>
        <w:t xml:space="preserve">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this case, the blessed</w:t>
        <w:br w:type="textWrapping"/>
        <w:t xml:space="preserve">promises of the Christian covenant,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different, in the very nautre of the case,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“good things to come,” but</w:t>
        <w:br w:type="textWrapping"/>
        <w:t xml:space="preserve">still, in formal expression, a term common</w:t>
        <w:br w:type="textWrapping"/>
        <w:t xml:space="preserve">to them and us: so that the expression,</w:t>
        <w:br w:type="textWrapping"/>
        <w:t xml:space="preserve">“high priest of the good things to come,”</w:t>
        <w:br w:type="textWrapping"/>
        <w:t xml:space="preserve">might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 scantiness of sense have been</w:t>
        <w:br w:type="textWrapping"/>
        <w:t xml:space="preserve">used of a Jewish High Priest, just as it is</w:t>
        <w:br w:type="textWrapping"/>
        <w:t xml:space="preserve">in its 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 of completed sense used of</w:t>
        <w:br w:type="textWrapping"/>
        <w:t xml:space="preserve">Christ now.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hardly necessary to</w:t>
        <w:br w:type="textWrapping"/>
        <w:t xml:space="preserve">add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 take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meaning’ not,</w:t>
        <w:br w:type="textWrapping"/>
        <w:t xml:space="preserve">which were future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respect of the la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which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are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future;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“incorruptible inheritance”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1 Pet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4,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hoped for”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 ch. 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Writer’s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usage in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genitive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uAkH2YY/EvsQ6gMrLlkFsadAA==">CgMxLjA4AHIhMW9Sck1kR1hWbG1McGF3X2JiYW1mMG9fNzVsazNiaW80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