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was wrapt round with scarlet wool to</w:t>
        <w:br w:type="textWrapping"/>
        <w:t xml:space="preserve">make it absorb the blood, being tied with</w:t>
        <w:br w:type="textWrapping"/>
        <w:t xml:space="preserve">the same wool to a staff of cedar-wood to</w:t>
        <w:br w:type="textWrapping"/>
        <w:t xml:space="preserve">keep it stiff. 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hyssop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itself, there are</w:t>
        <w:br w:type="textWrapping"/>
        <w:t xml:space="preserve">various opinions. The most approved</w:t>
        <w:br w:type="textWrapping"/>
        <w:t xml:space="preserve">makes it to be a plant growing on walls,</w:t>
        <w:br w:type="textWrapping"/>
        <w:t xml:space="preserve">‘hyssopus officinalis,’ with small lancet-formed woolly leaves, about an inch long,</w:t>
        <w:br w:type="textWrapping"/>
        <w:t xml:space="preserve">a knotty stalk from 1 to 1 ½ foot high,</w:t>
        <w:br w:type="textWrapping"/>
        <w:t xml:space="preserve">with blue [sometimes white] flowers),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he</w:t>
        <w:br w:type="textWrapping"/>
        <w:t xml:space="preserve">sprinkled both the book itself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(nothing is</w:t>
        <w:br w:type="textWrapping"/>
        <w:t xml:space="preserve">said of this in Exod. xxiv. The book is</w:t>
        <w:br w:type="textWrapping"/>
        <w:t xml:space="preserve">of course that out of which he had just </w:t>
        <w:br w:type="textWrapping"/>
        <w:t xml:space="preserve">read the ordinances of God. If, as Stier</w:t>
        <w:br w:type="textWrapping"/>
        <w:t xml:space="preserve">supposes, Moses took the book [Exod.</w:t>
        <w:br w:type="textWrapping"/>
        <w:t xml:space="preserve">xxiv. 7] from off the altar where it was</w:t>
        <w:br w:type="textWrapping"/>
        <w:t xml:space="preserve">lying when he sprinkled the altar with</w:t>
        <w:br w:type="textWrapping"/>
        <w:t xml:space="preserve">blood, then the book was sprinkled likewise: but nothing in the text of Exodus</w:t>
        <w:br w:type="textWrapping"/>
        <w:t xml:space="preserve">implies this),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and all the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(of course</w:t>
        <w:br w:type="textWrapping"/>
        <w:t xml:space="preserve">the words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all the people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are not to be</w:t>
        <w:br w:type="textWrapping"/>
        <w:t xml:space="preserve">taken to mean that he sprinkled every individuals; but merely the whole mass, as</w:t>
        <w:br w:type="textWrapping"/>
        <w:t xml:space="preserve">they stood),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saying, This is the blood of</w:t>
        <w:br w:type="textWrapping"/>
        <w:t xml:space="preserve">the testament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Exod. xxiv. 8,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“Behold</w:t>
        <w:br w:type="textWrapping"/>
        <w:t xml:space="preserve">the blood...”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It has been suggested,</w:t>
        <w:br w:type="textWrapping"/>
        <w:t xml:space="preserve">that the change has been made by the</w:t>
        <w:br w:type="textWrapping"/>
        <w:t xml:space="preserve">Writer after the tenor of the New Test.</w:t>
        <w:br w:type="textWrapping"/>
        <w:t xml:space="preserve">inauguration of the testament by our</w:t>
        <w:br w:type="textWrapping"/>
        <w:t xml:space="preserve">Lord, “This cup is the New Testament</w:t>
        <w:br w:type="textWrapping"/>
        <w:t xml:space="preserve">in my blood,” Luke xxii. 20)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God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Exod. xxiv. 8,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“the Lord;”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Jehovah:</w:t>
        <w:br w:type="textWrapping"/>
        <w:t xml:space="preserve">changed apparently to preserve more completely the Old Test. character of the</w:t>
        <w:br w:type="textWrapping"/>
        <w:t xml:space="preserve">saying)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commanded in regard to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</w:t>
        <w:br w:type="textWrapping"/>
        <w:t xml:space="preserve">is much disputed, how the logic of this</w:t>
        <w:br w:type="textWrapping"/>
        <w:t xml:space="preserve">passage can cohere: seeing that how properly soever the latter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diatheké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may be</w:t>
        <w:br w:type="textWrapping"/>
        <w:t xml:space="preserve">spoken of and argued on as being a testament, the former one could have no such</w:t>
        <w:br w:type="textWrapping"/>
        <w:t xml:space="preserve">character, and consequently cannot be thus</w:t>
        <w:br w:type="textWrapping"/>
        <w:t xml:space="preserve">argued on. And the question is very variously answered according to the standing point of different Commentators. The</w:t>
        <w:br w:type="textWrapping"/>
        <w:t xml:space="preserve">matter seems to stand thus.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diatheké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has the double sense of a covenant</w:t>
        <w:br w:type="textWrapping"/>
        <w:t xml:space="preserve">and a testament. Both these senses may</w:t>
        <w:br w:type="textWrapping"/>
        <w:t xml:space="preserve">be applied to both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covenants: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the latter</w:t>
        <w:br w:type="textWrapping"/>
        <w:t xml:space="preserve">more properly belongs the testamentary</w:t>
        <w:br w:type="textWrapping"/>
        <w:t xml:space="preserve">sense, but to the former also in as far as it</w:t>
        <w:br w:type="textWrapping"/>
        <w:t xml:space="preserve">was typical of and foreshadowed the other.</w:t>
        <w:br w:type="textWrapping"/>
        <w:t xml:space="preserve">In the latter, all is clear. Christ, the 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all things, has bequeathed to us His</w:t>
        <w:br w:type="textWrapping"/>
        <w:t xml:space="preserve">people an everlasting inheritance ; has died,</w:t>
        <w:br w:type="textWrapping"/>
        <w:t xml:space="preserve">sealing the testament with His blood. In</w:t>
        <w:br w:type="textWrapping"/>
        <w:t xml:space="preserve">the former all this is formally, though inadequately represented.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inheritance,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faintly shadowed forth by temporal possessions, had yet a recognized blessed meaning far beyond those possessions: the testator was imperfectly, but still was formally</w:t>
        <w:br w:type="textWrapping"/>
        <w:t xml:space="preserve">represented by the animals slain in sacrifice: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 death,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a</w:t>
        <w:br w:type="textWrapping"/>
        <w:t xml:space="preserve">sprinkling of and sealing by blood: and</w:t>
        <w:br w:type="textWrapping"/>
        <w:t xml:space="preserve">surely it requires no more stretch of</w:t>
        <w:br w:type="textWrapping"/>
        <w:t xml:space="preserve">concession to acknowledg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victim in</w:t>
        <w:br w:type="textWrapping"/>
        <w:t xml:space="preserve">sacrifice to represent the Lamb of God in</w:t>
        <w:br w:type="textWrapping"/>
        <w:t xml:space="preserve">his sonship and his heritorship, than it</w:t>
        <w:br w:type="textWrapping"/>
        <w:t xml:space="preserve">does in his innocence and  propitiatory</w:t>
        <w:br w:type="textWrapping"/>
        <w:t xml:space="preserve">power. The one idea is just as poorly</w:t>
        <w:br w:type="textWrapping"/>
        <w:t xml:space="preserve">and inadequately set forth by it as the</w:t>
        <w:br w:type="textWrapping"/>
        <w:t xml:space="preserve">other. But in both cases there is an</w:t>
        <w:br w:type="textWrapping"/>
        <w:t xml:space="preserve">inheritance, and in both it is the same.</w:t>
        <w:br w:type="textWrapping"/>
        <w:t xml:space="preserve">In both it is bequeathed: in the latter</w:t>
        <w:br w:type="textWrapping"/>
        <w:t xml:space="preserve">actually by One who has come in person</w:t>
        <w:br w:type="textWrapping"/>
        <w:t xml:space="preserve">and died: in the former, only typically, by</w:t>
        <w:br w:type="textWrapping"/>
        <w:t xml:space="preserve">the same 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ceremonially present.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that, if our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ver. 18 were to be</w:t>
        <w:br w:type="textWrapping"/>
        <w:t xml:space="preserve">filled up, it would be, “Whence, i.e. since</w:t>
        <w:br w:type="textWrapping"/>
        <w:t xml:space="preserve">the former covenant also had its testamentary side, and thus was analogous to as well</w:t>
        <w:br w:type="textWrapping"/>
        <w:t xml:space="preserve">as typical of the latter.”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charge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rought against the Writer on account of</w:t>
        <w:br w:type="textWrapping"/>
        <w:t xml:space="preserve">his transition of meaning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diatheké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</w:t>
        <w:br w:type="textWrapping"/>
        <w:t xml:space="preserve">equally without foundation. He is thinking</w:t>
        <w:br w:type="textWrapping"/>
        <w:t xml:space="preserve">in Greek. In Greek, the word has these</w:t>
        <w:br w:type="textWrapping"/>
        <w:t xml:space="preserve">two meanings: not divided off from one</w:t>
        <w:br w:type="textWrapping"/>
        <w:t xml:space="preserve">another by any such line of demarcation</w:t>
        <w:br w:type="textWrapping"/>
        <w:t xml:space="preserve">as when expressed by two separate words,</w:t>
        <w:br w:type="textWrapping"/>
        <w:t xml:space="preserve">but both lying under one and the same</w:t>
        <w:br w:type="textWrapping"/>
        <w:t xml:space="preserve">word. What more common, or more</w:t>
        <w:br w:type="textWrapping"/>
        <w:t xml:space="preserve">ordinarily accepted, than to educe out of</w:t>
        <w:br w:type="textWrapping"/>
        <w:t xml:space="preserve">some one word its various shades of meaning, and argue on each separately as regards the matter in hand? Take the very</w:t>
        <w:br w:type="textWrapping"/>
        <w:t xml:space="preserve">word “Testament ” as an example. In our</w:t>
        <w:br w:type="textWrapping"/>
        <w:t xml:space="preserve">common parlance it now means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book;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Old Testament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book of the former</w:t>
        <w:br w:type="textWrapping"/>
        <w:t xml:space="preserve">covenant,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New Testament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book of</w:t>
        <w:br w:type="textWrapping"/>
        <w:t xml:space="preserve">the latter. But we do not therefore sink</w:t>
        <w:br w:type="textWrapping"/>
        <w:t xml:space="preserve">the other and deeper meaning; nay, we</w:t>
        <w:br w:type="textWrapping"/>
        <w:t xml:space="preserve">rather insist on it, that it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ay not become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ost in that other and more familiar one.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cannot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how the Writer's method of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80ESd5sKO6qxarvsTst3VK84Ng==">CgMxLjA4AHIhMS1QS29TdXZLY0Ywb3dTTUFqTXhKX1FvcFhNMm1ZckVW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