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testament (covenant),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Matt. xxvi. 28),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as sprinkled with</w:t>
        <w:br w:type="textWrapping"/>
        <w:t xml:space="preserve">which his element and condition of</w:t>
        <w:br w:type="textWrapping"/>
        <w:t xml:space="preserve">sanctification)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Lev. xvi. 19 Septuagint, and our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</w:t>
        <w:br w:type="textWrapping"/>
        <w:t xml:space="preserve">12 and ix. 13. He had advanced so far</w:t>
        <w:br w:type="textWrapping"/>
        <w:t xml:space="preserve">in the reality of the spiritual life, that</w:t>
        <w:br w:type="textWrapping"/>
        <w:t xml:space="preserve">this blood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been really applied to his</w:t>
        <w:br w:type="textWrapping"/>
        <w:t xml:space="preserve">heart by faith, and its hallowing and purifying </w:t>
        <w:br w:type="textWrapping"/>
        <w:t xml:space="preserve">effects were visible in his life: which</w:t>
        <w:br w:type="textWrapping"/>
        <w:t xml:space="preserve">makes the contrast the more terrible.</w:t>
        <w:br w:type="textWrapping"/>
        <w:t xml:space="preserve">And Delitzsch finely remarks, as against</w:t>
        <w:br w:type="textWrapping"/>
        <w:t xml:space="preserve">the assertors of mere shallow supralapsarianism, </w:t>
        <w:br w:type="textWrapping"/>
        <w:t xml:space="preserve">that without former experience of</w:t>
        <w:br w:type="textWrapping"/>
        <w:t xml:space="preserve">grace, without a life of faith far more than</w:t>
        <w:br w:type="textWrapping"/>
        <w:t xml:space="preserve">superficial, so irrecoverable a fall into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abyss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possible. It is worthy of</w:t>
        <w:br w:type="textWrapping"/>
        <w:t xml:space="preserve">remark how Calvin evades the deep truth</w:t>
        <w:br w:type="textWrapping"/>
        <w:t xml:space="preserve">contained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wherewith he was</w:t>
        <w:br w:type="textWrapping"/>
        <w:t xml:space="preserve">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“It is most unworthy to profane </w:t>
        <w:br w:type="textWrapping"/>
        <w:t xml:space="preserve">the blood of 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 the material </w:t>
        <w:br w:type="textWrapping"/>
        <w:t xml:space="preserve">of our sanctification: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those do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 apostatize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faith:”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 making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 are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insulted the Spirit 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Spirit 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Zech. xii. 10. No two</w:t>
        <w:br w:type="textWrapping"/>
        <w:t xml:space="preserve">things can be more opposed, as Delitzsch</w:t>
        <w:br w:type="textWrapping"/>
        <w:t xml:space="preserve">remarks,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insolence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this remark guides us to the answer to the</w:t>
        <w:br w:type="textWrapping"/>
        <w:t xml:space="preserve">question whether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a genitive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whether it is the</w:t>
        <w:br w:type="textWrapping"/>
        <w:t xml:space="preserve">spirit which belongs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it is</w:t>
        <w:br w:type="textWrapping"/>
        <w:t xml:space="preserve">the gift of the divine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[so most of the</w:t>
        <w:br w:type="textWrapping"/>
        <w:t xml:space="preserve">moderns],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belongs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 that it is the gift of and the character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latter is much the more</w:t>
        <w:br w:type="textWrapping"/>
        <w:t xml:space="preserve">probable, both on account of the prophecy</w:t>
        <w:br w:type="textWrapping"/>
        <w:t xml:space="preserve">of Zechariah which is referred to,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</w:t>
        <w:br w:type="textWrapping"/>
        <w:t xml:space="preserve">pour out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 of grace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supplication,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and on account of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insulted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most naturally referred to a</w:t>
        <w:br w:type="textWrapping"/>
        <w:t xml:space="preserve">Person as its object)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0, 31.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{30}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reception of judgment and fervour of</w:t>
        <w:br w:type="textWrapping"/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certainties, testified to by God</w:t>
        <w:br w:type="textWrapping"/>
        <w:t xml:space="preserve">Himself.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know Him who said,</w:t>
        <w:br w:type="textWrapping"/>
        <w:t xml:space="preserve">“To me belongeth vengeance, I will</w:t>
        <w:br w:type="textWrapping"/>
        <w:t xml:space="preserve">repay, saith the Lord”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citation is</w:t>
        <w:br w:type="textWrapping"/>
        <w:t xml:space="preserve">from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xxxii. 35, and is given not in</w:t>
        <w:br w:type="textWrapping"/>
        <w:t xml:space="preserve">agreement with the Hebrew text nor with</w:t>
        <w:br w:type="textWrapping"/>
        <w:t xml:space="preserve">the Septuagint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day of vengeance</w:t>
        <w:br w:type="textWrapping"/>
        <w:t xml:space="preserve">will I recompense:” so also in the Sam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ritan </w:t>
        <w:br w:type="textWrapping"/>
        <w:t xml:space="preserve">Pentateuch, and in Philo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but, remarkably </w:t>
        <w:br w:type="textWrapping"/>
        <w:t xml:space="preserve">eno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gh, in verbal accordance with St,</w:t>
        <w:br w:type="textWrapping"/>
        <w:t xml:space="preserve">Paul’s citation of the same text, Rom. xii.</w:t>
        <w:br w:type="textWrapping"/>
        <w:t xml:space="preserve">19, even to the adding of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saith</w:t>
        <w:br w:type="textWrapping"/>
        <w:t xml:space="preserve">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are neither in the Hebrew</w:t>
        <w:br w:type="textWrapping"/>
        <w:t xml:space="preserve">nor the Septuagint. Two solutions of this</w:t>
        <w:br w:type="textWrapping"/>
        <w:t xml:space="preserve">are possible: 1) that the expression had</w:t>
        <w:br w:type="textWrapping"/>
        <w:t xml:space="preserve">become a common saying in the church:</w:t>
        <w:br w:type="textWrapping"/>
        <w:t xml:space="preserve">2) that our Writer takes it from St. Paul’s</w:t>
        <w:br w:type="textWrapping"/>
        <w:t xml:space="preserve">citation. A third alternative is of course</w:t>
        <w:br w:type="textWrapping"/>
        <w:t xml:space="preserve">open; that it is St. Paul himself, who</w:t>
        <w:br w:type="textWrapping"/>
        <w:t xml:space="preserve">quotes here as there. For a solution, see</w:t>
        <w:br w:type="textWrapping"/>
        <w:t xml:space="preserve">Introduction, on the authorship of this</w:t>
        <w:br w:type="textWrapping"/>
        <w:t xml:space="preserve">Epistle)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again, The Lord will judge</w:t>
        <w:br w:type="textWrapping"/>
        <w:t xml:space="preserve">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doubt quoted primarily</w:t>
        <w:br w:type="textWrapping"/>
        <w:t xml:space="preserve">from the passage where it primarily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urs,</w:t>
        <w:br w:type="textWrapping"/>
        <w:t xml:space="preserve">in Deut. xxxii. 36.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  <w:br w:type="textWrapping"/>
        <w:t xml:space="preserve">expresses another function of the judge</w:t>
        <w:br w:type="textWrapping"/>
        <w:t xml:space="preserve">from that which is adduced here. There,</w:t>
        <w:br w:type="textWrapping"/>
        <w:t xml:space="preserve">He will judge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rescue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for defence:</w:t>
        <w:br w:type="textWrapping"/>
        <w:t xml:space="preserve">here, for punishment and for condemnation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office of 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generally asserted,</w:t>
        <w:br w:type="textWrapping"/>
        <w:t xml:space="preserve">involves all that belongs to a judge: and</w:t>
        <w:br w:type="textWrapping"/>
        <w:t xml:space="preserve">if there it induces the comforting of those</w:t>
        <w:br w:type="textWrapping"/>
        <w:t xml:space="preserve">of whom He saw that their power is gone,</w:t>
        <w:br w:type="textWrapping"/>
        <w:t xml:space="preserve">and that there is here shut up or left, here</w:t>
        <w:br w:type="textWrapping"/>
        <w:t xml:space="preserve">the same general office of judgment also</w:t>
        <w:br w:type="textWrapping"/>
        <w:t xml:space="preserve">induces the punishment of the wilful sinner</w:t>
        <w:br w:type="textWrapping"/>
        <w:t xml:space="preserve">and apostate).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Axiomatic conclusion </w:t>
        <w:br w:type="textWrapping"/>
        <w:t xml:space="preserve">of these solemn warnings.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a</w:t>
        <w:br w:type="textWrapping"/>
        <w:t xml:space="preserve">fearful thing to fall into the hands of the</w:t>
        <w:br w:type="textWrapping"/>
        <w:t xml:space="preserve">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(yet in 2 Sam. xxiv. 14, David</w:t>
        <w:br w:type="textWrapping"/>
        <w:t xml:space="preserve">says, “Let us fall now into the hand of</w:t>
        <w:br w:type="textWrapping"/>
        <w:t xml:space="preserve">the Lord, for His mercies are great;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 us not fall into the hand of man:” and</w:t>
        <w:br w:type="textWrapping"/>
        <w:t xml:space="preserve">in 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 we have “we will fall into</w:t>
        <w:br w:type="textWrapping"/>
        <w:t xml:space="preserve">the hands of the Lord, and not into the</w:t>
        <w:br w:type="textWrapping"/>
        <w:t xml:space="preserve">hands of men; for as His majesty is, so is</w:t>
        <w:br w:type="textWrapping"/>
        <w:t xml:space="preserve">His mercy.” But the two sentiments are</w:t>
        <w:br w:type="textWrapping"/>
        <w:t xml:space="preserve">easily 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one, For the faithful, in their</w:t>
        <w:br w:type="textWrapping"/>
        <w:t xml:space="preserve">chastisement, it is a blessed thing to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</w:t>
        <w:br w:type="textWrapping"/>
        <w:t xml:space="preserve">into God's Hands: for the unfaithful, in</w:t>
        <w:br w:type="textWrapping"/>
        <w:t xml:space="preserve">their doom, a dreadful on.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Zf1uSJdIHqCmWHNMTnnar2kY6Q==">CgMxLjA4AHIhMWVhRklaZWZvTkduRzVLSm9fNDlsSnZDbWhzd3JRQm1V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