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Israel; with whom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promise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ever the</w:t>
        <w:br w:type="textWrapping"/>
        <w:t xml:space="preserve">object of faith: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land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which they were</w:t>
        <w:br w:type="textWrapping"/>
        <w:t xml:space="preserve">strangers: a son, who was not yet born: a</w:t>
        <w:br w:type="textWrapping"/>
        <w:t xml:space="preserve">people, who were yet to be.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ABRAHAM’S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faith Abraham, being</w:t>
        <w:br w:type="textWrapping"/>
        <w:t xml:space="preserve">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by God, Gen. xii. 1 ff. Another</w:t>
        <w:br w:type="textWrapping"/>
        <w:t xml:space="preserve">reading, having considerable authority, is,</w:t>
        <w:br w:type="textWrapping"/>
        <w:t xml:space="preserve">“he that was called, named, Abraham.”</w:t>
        <w:br w:type="textWrapping"/>
        <w:t xml:space="preserve">And the sense thus would be very good,—</w:t>
        <w:br w:type="textWrapping"/>
        <w:t xml:space="preserve">whatever Bleek and Delitszch have said</w:t>
        <w:br w:type="textWrapping"/>
        <w:t xml:space="preserve">against it,—when we take into account</w:t>
        <w:br w:type="textWrapping"/>
        <w:t xml:space="preserve">the meaning of the name Abraham,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father of nations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That this change of</w:t>
        <w:br w:type="textWrapping"/>
        <w:t xml:space="preserve">name did not take place till twenty-five</w:t>
        <w:br w:type="textWrapping"/>
        <w:t xml:space="preserve">years after his removal from Haran, is</w:t>
        <w:br w:type="textWrapping"/>
        <w:t xml:space="preserve">no objection, but is just what would be</w:t>
        <w:br w:type="textWrapping"/>
        <w:t xml:space="preserve">the point raised: “By faith, he who was</w:t>
        <w:br w:type="textWrapping"/>
        <w:t xml:space="preserve">[afterwards] called Abrabam, father of</w:t>
        <w:br w:type="textWrapping"/>
        <w:t xml:space="preserve">nations, &amp;c.” But on the whole, I adhere</w:t>
        <w:br w:type="textWrapping"/>
        <w:t xml:space="preserve">to the received text),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obeyed, to go out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infinitive explains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wherein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obeyed)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place which he was hereafter </w:t>
        <w:br w:type="textWrapping"/>
        <w:t xml:space="preserve">to receive for an inheritance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</w:t>
        <w:br w:type="textWrapping"/>
        <w:t xml:space="preserve">that he was conscious even of this promise</w:t>
        <w:br w:type="textWrapping"/>
        <w:t xml:space="preserve">when he went out, for it was made to him</w:t>
        <w:br w:type="textWrapping"/>
        <w:t xml:space="preserve">afterwards in Canaan, see Gen. xii. 7);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and</w:t>
        <w:br w:type="textWrapping"/>
        <w:t xml:space="preserve">went out, not knowing whither he was</w:t>
        <w:br w:type="textWrapping"/>
        <w:t xml:space="preserve">going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(coming).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9, 10.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faith</w:t>
        <w:br w:type="textWrapping"/>
        <w:t xml:space="preserve">he sojourned in the land of the promise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(concerning which the promise, Gen. xii. 7,</w:t>
        <w:br w:type="textWrapping"/>
        <w:t xml:space="preserve">had been given),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a stranger’s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if it</w:t>
        <w:br w:type="textWrapping"/>
        <w:t xml:space="preserve">did not belong to him, but to another:</w:t>
        <w:br w:type="textWrapping"/>
        <w:t xml:space="preserve">see Acts vii. 6, which is strictly parallel,</w:t>
        <w:br w:type="textWrapping"/>
        <w:t xml:space="preserve">and Gen. xv. 13),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dwelling in tents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Gen. xii. 8; xiii. 3; xviii. 1 ff.)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Isaac</w:t>
        <w:br w:type="textWrapping"/>
        <w:t xml:space="preserve">and Jacob, the heirs with him of the same</w:t>
        <w:br w:type="textWrapping"/>
        <w:t xml:space="preserve">promise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(what is implied is, not so much</w:t>
        <w:br w:type="textWrapping"/>
        <w:t xml:space="preserve">that the promise was renewed to them,</w:t>
        <w:br w:type="textWrapping"/>
        <w:t xml:space="preserve">as that all three waited for the performance</w:t>
        <w:br w:type="textWrapping"/>
        <w:t xml:space="preserve">of the same promise, and in this waiting,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built themselves no permanent abode)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(reason of his sojourning in the</w:t>
        <w:br w:type="textWrapping"/>
        <w:t xml:space="preserve">land of promise as in a strange land)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  <w:br w:type="textWrapping"/>
        <w:t xml:space="preserve">waited for the city which has the</w:t>
        <w:br w:type="textWrapping"/>
        <w:t xml:space="preserve">foundations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(beyond doubt, the heavenly</w:t>
        <w:br w:type="textWrapping"/>
        <w:t xml:space="preserve">city,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Jerusalem which is above,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thus</w:t>
        <w:br w:type="textWrapping"/>
        <w:t xml:space="preserve">contrasted with the frail and moveable</w:t>
        <w:br w:type="textWrapping"/>
        <w:t xml:space="preserve">tents in which the patriarchs dwelt. No</w:t>
        <w:br w:type="textWrapping"/>
        <w:t xml:space="preserve">other interpretation will suit the language</w:t>
        <w:br w:type="textWrapping"/>
        <w:t xml:space="preserve">here used.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 of the living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of ch. xii,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and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 which is to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ch. xiii. 14, must be here meant</w:t>
        <w:br w:type="textWrapping"/>
        <w:t xml:space="preserve">also. Of the earthly Jerusalem indeed it</w:t>
        <w:br w:type="textWrapping"/>
        <w:t xml:space="preserve">is said,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xxxvii. 1,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foundation is</w:t>
        <w:br w:type="textWrapping"/>
        <w:t xml:space="preserve">in the holy mountains: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impossible, </w:t>
        <w:br w:type="textWrapping"/>
        <w:t xml:space="preserve">that the earthly Jerusalem can be</w:t>
        <w:br w:type="textWrapping"/>
        <w:t xml:space="preserve">meant here. The lives of the dwellers in</w:t>
        <w:br w:type="textWrapping"/>
        <w:t xml:space="preserve">her rather corresponded to the precarious</w:t>
        <w:br w:type="textWrapping"/>
        <w:t xml:space="preserve">dwelling in tents than to the abiding in a</w:t>
        <w:br w:type="textWrapping"/>
        <w:t xml:space="preserve">permanent city: and the true reference of</w:t>
        <w:br w:type="textWrapping"/>
        <w:t xml:space="preserve">the expression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the foundations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to be found in Rev. xxi. 14, 19. As having</w:t>
        <w:br w:type="textWrapping"/>
        <w:t xml:space="preserve">these foundations, it forms a contrast to</w:t>
        <w:br w:type="textWrapping"/>
        <w:t xml:space="preserve">the tent, placed on the ground and easily</w:t>
        <w:br w:type="textWrapping"/>
        <w:t xml:space="preserve">transported. Ebrard objects to this view,</w:t>
        <w:br w:type="textWrapping"/>
        <w:t xml:space="preserve">that it is unhistoric to say that the patriarchs </w:t>
        <w:br w:type="textWrapping"/>
        <w:t xml:space="preserve">looked for the heavenly city: but</w:t>
        <w:br w:type="textWrapping"/>
        <w:t xml:space="preserve">Delitzsch well answers, that it is not the</w:t>
        <w:br w:type="textWrapping"/>
        <w:t xml:space="preserve">mere historic question, what they knew and</w:t>
        <w:br w:type="textWrapping"/>
        <w:t xml:space="preserve">expected, with which our Writer is concerned, </w:t>
        <w:br w:type="textWrapping"/>
        <w:t xml:space="preserve">but the question what it was that</w:t>
        <w:br w:type="textWrapping"/>
        <w:t xml:space="preserve">their faith, breaking through this knowledge</w:t>
        <w:br w:type="textWrapping"/>
        <w:t xml:space="preserve">in its yearnings for the future, fra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matter of hope. The expectation</w:t>
        <w:br w:type="textWrapping"/>
        <w:t xml:space="preserve">of the literal fulfilment of a promise is one</w:t>
        <w:br w:type="textWrapping"/>
        <w:t xml:space="preserve">thing: the hopes and prospects and surmises </w:t>
        <w:br w:type="textWrapping"/>
        <w:t xml:space="preserve">built upon the character of that promise, </w:t>
        <w:br w:type="textWrapping"/>
        <w:t xml:space="preserve">another. The one is mere belief:</w:t>
        <w:br w:type="textWrapping"/>
        <w:t xml:space="preserve">the other is faith),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which the 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hitect</w:t>
        <w:br w:type="textWrapping"/>
        <w:t xml:space="preserve">and master-builder is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(very similarly)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ZYG/DJ8HopcKmVz64s13APwDBA==">AMUW2mUUjK1oRW4/gfjCh2DsrQBzyYMJifv9xgms1ou4LsTBGZ5fvYkcHhSqqANi84GS+BK9uYsWsok2KQZPdzKAeBb2W4fBe9EKkw3ZJ8RUpl6nC3rLyRQ=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