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idea of her other than as an harlot. See</w:t>
        <w:br w:type="textWrapping"/>
        <w:t xml:space="preserve">note, Matt. i. 5)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did not perish with them</w:t>
        <w:br w:type="textWrapping"/>
        <w:t xml:space="preserve">who were disobedient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(the inhabitants of</w:t>
        <w:br w:type="textWrapping"/>
        <w:t xml:space="preserve">Jericho were disobedient to the will of</w:t>
        <w:br w:type="textWrapping"/>
        <w:t xml:space="preserve">God manifested by the signs and wonders</w:t>
        <w:br w:type="textWrapping"/>
        <w:t xml:space="preserve">which he had wrought for Israel: as is</w:t>
        <w:br w:type="textWrapping"/>
        <w:t xml:space="preserve">implied by Rahab’s speech, Josh. ii. 9–12),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having received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(viz. to her house: they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lodged there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Josh. ii. 1)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the spies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(sent</w:t>
        <w:br w:type="textWrapping"/>
        <w:t xml:space="preserve">hy Joshua to Jericho, Josh. ii. 1)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with</w:t>
        <w:br w:type="textWrapping"/>
        <w:t xml:space="preserve">peace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(so that they had nothing hostile to</w:t>
        <w:br w:type="textWrapping"/>
        <w:t xml:space="preserve">fear from her). On the introduction of</w:t>
        <w:br w:type="textWrapping"/>
        <w:t xml:space="preserve">Rahab in James ii. 25, as an example of</w:t>
        <w:br w:type="textWrapping"/>
        <w:t xml:space="preserve">justification by works, see note there.</w:t>
        <w:br w:type="textWrapping"/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32–40.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The Writer breaks off, feel-</w:t>
        <w:br w:type="textWrapping"/>
        <w:t xml:space="preserve">ing that such an illustration of faith by</w:t>
        <w:br w:type="textWrapping"/>
        <w:t xml:space="preserve">examples would be endless, and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gathers</w:t>
        <w:br w:type="textWrapping"/>
        <w:t xml:space="preserve">up those many which remain in one.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32.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And what say I yet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(more,</w:t>
        <w:br w:type="textWrapping"/>
        <w:t xml:space="preserve">any)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further? for the time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(which might</w:t>
        <w:br w:type="textWrapping"/>
        <w:t xml:space="preserve">be reasonable for writing an epistle)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will</w:t>
        <w:br w:type="textWrapping"/>
        <w:t xml:space="preserve">fail me narrating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(if I narrate)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concerning </w:t>
        <w:br w:type="textWrapping"/>
        <w:t xml:space="preserve">Gideon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(see Judges vi.–viii.), and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Barak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(Judges iv. v. Barak was not so</w:t>
        <w:br w:type="textWrapping"/>
        <w:t xml:space="preserve">strong in faith as he might have been,</w:t>
        <w:br w:type="textWrapping"/>
        <w:t xml:space="preserve">though he did believe and go to the fight,</w:t>
        <w:br w:type="textWrapping"/>
        <w:t xml:space="preserve">and triumph: see Judg. iv. 8, 9),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and</w:t>
        <w:br w:type="textWrapping"/>
        <w:t xml:space="preserve">Samson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(Judges xiii–xvi.),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and Jephthah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(Judges xi. l—xii, 7);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and David, and</w:t>
        <w:br w:type="textWrapping"/>
        <w:t xml:space="preserve">Samuel, and of the prophets; who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(does</w:t>
        <w:br w:type="textWrapping"/>
        <w:t xml:space="preserve">not strictly identify the antecedents: for</w:t>
        <w:br w:type="textWrapping"/>
        <w:t xml:space="preserve">many of the actions which follow were</w:t>
        <w:br w:type="textWrapping"/>
        <w:t xml:space="preserve">done by others than those previously mentioned) 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through faith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through faith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</w:t>
        <w:br w:type="textWrapping"/>
        <w:t xml:space="preserve">instead of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by faith,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 for the first time in</w:t>
        <w:br w:type="textWrapping"/>
        <w:t xml:space="preserve">the chapter, suits perhaps better the miscellaneous </w:t>
        <w:br w:type="textWrapping"/>
        <w:t xml:space="preserve">verbs of predication which follow,</w:t>
        <w:br w:type="textWrapping"/>
        <w:t xml:space="preserve">e.g.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quenched the violence of fire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subdued kingdoms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(the acts referred to</w:t>
        <w:br w:type="textWrapping"/>
        <w:t xml:space="preserve">may be Gideon’s victory over the Midianites</w:t>
        <w:br w:type="textWrapping"/>
        <w:t xml:space="preserve">Judges vii.], Barak’s over the Canaanites</w:t>
        <w:br w:type="textWrapping"/>
        <w:t xml:space="preserve">[ib. iv.], Samson’s over the Philistines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[ib. xiv. ff.], Jephthah’s over the Ammonites </w:t>
        <w:br w:type="textWrapping"/>
        <w:t xml:space="preserve">[ib. ix.], David’s over the Philistines</w:t>
        <w:br w:type="textWrapping"/>
        <w:t xml:space="preserve">[2 Sam. v. 17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25; viii. 1; xxi. 15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ff.]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Moabites, Syrians, Edomites [ib viii. 2 ff.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Ammonites [ib. x. xii. 26 ff.]),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wrought</w:t>
        <w:br w:type="textWrapping"/>
        <w:t xml:space="preserve">righteousness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(so Samuel, the righteous</w:t>
        <w:br w:type="textWrapping"/>
        <w:t xml:space="preserve">judge, 1 Sam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xii. 3, 4: David, the righteous </w:t>
        <w:br w:type="textWrapping"/>
        <w:t xml:space="preserve">king, 2 Sam. viii, 15; 1 Chron. xviii,</w:t>
        <w:br w:type="textWrapping"/>
        <w:t xml:space="preserve">14: and indeed in a wide sense all of them,</w:t>
        <w:br w:type="textWrapping"/>
        <w:t xml:space="preserve">see Jer. xxiii. 5; Ezek. xlv. 9),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obtained</w:t>
        <w:br w:type="textWrapping"/>
        <w:t xml:space="preserve">promises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 words are capable of two</w:t>
        <w:br w:type="textWrapping"/>
        <w:t xml:space="preserve">senses: 1) got from God spoken promises,</w:t>
        <w:br w:type="textWrapping"/>
        <w:t xml:space="preserve">as e.g. the prophets: or 2) obtained the</w:t>
        <w:br w:type="textWrapping"/>
        <w:t xml:space="preserve">fulfilment of promises. 1) is taken by</w:t>
        <w:br w:type="textWrapping"/>
        <w:t xml:space="preserve">Chrysostom [referring it to the promise to</w:t>
        <w:br w:type="textWrapping"/>
        <w:t xml:space="preserve">David that his seed should sit on his throne],</w:t>
        <w:br w:type="textWrapping"/>
        <w:t xml:space="preserve">and others. But it seems to me altogether</w:t>
        <w:br w:type="textWrapping"/>
        <w:t xml:space="preserve">improbable that the Writer should’ thus</w:t>
        <w:br w:type="textWrapping"/>
        <w:t xml:space="preserve">illustrate faith by a fact which, though it</w:t>
        <w:br w:type="textWrapping"/>
        <w:t xml:space="preserve">may have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accompanied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faith in the recipient, </w:t>
        <w:br w:type="textWrapping"/>
        <w:t xml:space="preserve">was certainly no fruit or direct</w:t>
        <w:br w:type="textWrapping"/>
        <w:t xml:space="preserve">triumph of it: and that in the face of such</w:t>
        <w:br w:type="textWrapping"/>
        <w:t xml:space="preserve">sayings as Josh. xxi. 45; 1 Kings viii. 56,</w:t>
        <w:br w:type="textWrapping"/>
        <w:t xml:space="preserve">and of Gideon’s tri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ls of God. The objection </w:t>
        <w:br w:type="textWrapping"/>
        <w:t xml:space="preserve">which is brought against 2), that it is</w:t>
        <w:br w:type="textWrapping"/>
        <w:t xml:space="preserve">inconsistent with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not having received the</w:t>
        <w:br w:type="textWrapping"/>
        <w:t xml:space="preserve">promises,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ver. 13, and with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received not</w:t>
        <w:br w:type="textWrapping"/>
        <w:t xml:space="preserve">the promise,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ver. 39, is very simply answered: </w:t>
        <w:br w:type="textWrapping"/>
        <w:t xml:space="preserve">it is not 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id that they obtained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promises, or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promise, but anarthrously: </w:t>
        <w:br w:type="textWrapping"/>
        <w:t xml:space="preserve">they obtained promises, but</w:t>
        <w:br w:type="textWrapping"/>
        <w:t xml:space="preserve">not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promises which were yet future.</w:t>
        <w:br w:type="textWrapping"/>
        <w:t xml:space="preserve">And so most Commentators),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stopped the</w:t>
        <w:br w:type="textWrapping"/>
        <w:t xml:space="preserve">mouths of lions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(referring principally, it</w:t>
        <w:br w:type="textWrapping"/>
        <w:t xml:space="preserve">may be, to Daniel, of whom it is said,</w:t>
        <w:br w:type="textWrapping"/>
        <w:t xml:space="preserve">Dan. vi. 22, that God sent his angel and</w:t>
        <w:br w:type="textWrapping"/>
        <w:t xml:space="preserve">stopped the mouths of the lions: where</w:t>
        <w:br w:type="textWrapping"/>
        <w:t xml:space="preserve">notice also the addition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because he</w:t>
        <w:br w:type="textWrapping"/>
        <w:t xml:space="preserve">believed in his God.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But reference may</w:t>
        <w:br w:type="textWrapping"/>
        <w:t xml:space="preserve">be also to Samson, Judges xiv. 6, and</w:t>
        <w:br w:type="textWrapping"/>
        <w:t xml:space="preserve">David, 1 Sam, xvii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34: and I may add,</w:t>
        <w:br w:type="textWrapping"/>
        <w:t xml:space="preserve">Benaiah the son of Jehoiada, 2 Sam. xxiii.</w:t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We5jQ0hv32SSuTDZnHuf50TZ6UA==">CgMxLjA4AHIhMW16Yk9YZlh6T05nR0ZidlJ0SV9WR0FLRjRFQXY5N29J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