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cannot be)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shaken may abide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great final shaking which is to introduce </w:t>
        <w:br w:type="textWrapping"/>
        <w:t xml:space="preserve">the accomplished kingdom of God</w:t>
        <w:br w:type="textWrapping"/>
        <w:t xml:space="preserve">is that after which there shall be no</w:t>
        <w:br w:type="textWrapping"/>
        <w:t xml:space="preserve">other. To what does in order that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long?</w:t>
        <w:br w:type="textWrapping"/>
        <w:t xml:space="preserve">Two ways of taking the sentence</w:t>
        <w:br w:type="textWrapping"/>
        <w:t xml:space="preserve">are possible. 1) That given above, to the</w:t>
        <w:br w:type="textWrapping"/>
        <w:t xml:space="preserve">consideration of which I will presently</w:t>
        <w:br w:type="textWrapping"/>
        <w:t xml:space="preserve">return. 2) We may join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order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&amp;c., not with the fact pointed at,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removal of the things shaken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its purpose, </w:t>
        <w:br w:type="textWrapping"/>
        <w:t xml:space="preserve">but with the verb,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have been made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  <w:br w:type="textWrapping"/>
        <w:t xml:space="preserve">‘as of things which have been made in</w:t>
        <w:br w:type="textWrapping"/>
        <w:t xml:space="preserve">order that the things which cannot be</w:t>
        <w:br w:type="textWrapping"/>
        <w:t xml:space="preserve">shaken may remain:’ i.e. the scope of</w:t>
        <w:br w:type="textWrapping"/>
        <w:t xml:space="preserve">Creation has been, the establishing of</w:t>
        <w:br w:type="textWrapping"/>
        <w:t xml:space="preserve">the kingdom of Redemption: that it,</w:t>
        <w:br w:type="textWrapping"/>
        <w:t xml:space="preserve">the transitory and baseless, may pass away</w:t>
        <w:br w:type="textWrapping"/>
        <w:t xml:space="preserve">when its work is fulfilled, and give place</w:t>
        <w:br w:type="textWrapping"/>
        <w:t xml:space="preserve">to that which shall never pass away. This</w:t>
        <w:br w:type="textWrapping"/>
        <w:t xml:space="preserve">view is strongly taken by Delitzsch, after</w:t>
        <w:br w:type="textWrapping"/>
        <w:t xml:space="preserve">Grotius, Bengel, Tholuck, and others.</w:t>
        <w:br w:type="textWrapping"/>
        <w:t xml:space="preserve">But I cannot accede to it, beautiful as</w:t>
        <w:br w:type="textWrapping"/>
        <w:t xml:space="preserve">is the thought, and strictly true, that</w:t>
        <w:br w:type="textWrapping"/>
        <w:t xml:space="preserve">Creation was made but to subserve Redemption: </w:t>
        <w:br w:type="textWrapping"/>
        <w:t xml:space="preserve">the things removable, to give</w:t>
        <w:br w:type="textWrapping"/>
        <w:t xml:space="preserve">place to the things unremoveable. For, a)</w:t>
        <w:br w:type="textWrapping"/>
        <w:t xml:space="preserve">the word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remain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will thus have an exceedingly </w:t>
        <w:br w:type="textWrapping"/>
        <w:t xml:space="preserve">awkward elliptic sense, “that</w:t>
        <w:br w:type="textWrapping"/>
        <w:t xml:space="preserve">the things which cannot be shaken may</w:t>
        <w:br w:type="textWrapping"/>
        <w:t xml:space="preserve">remain,” i.e. “may come into the place of</w:t>
        <w:br w:type="textWrapping"/>
        <w:t xml:space="preserve">those removed, and thus abide for ever:”</w:t>
        <w:br w:type="textWrapping"/>
        <w:t xml:space="preserve">for things which cannot be shaken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remaining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br w:type="textWrapping"/>
        <w:t xml:space="preserve">merely, would be a matter of course.</w:t>
        <w:br w:type="textWrapping"/>
        <w:t xml:space="preserve">b) the logical propriety as well as the</w:t>
        <w:br w:type="textWrapping"/>
        <w:t xml:space="preserve">rhythm of the sentence is thus destroyed.</w:t>
        <w:br w:type="textWrapping"/>
        <w:t xml:space="preserve">For we should on this rendering have the</w:t>
        <w:br w:type="textWrapping"/>
        <w:t xml:space="preserve">clause beginning with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order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  <w:t xml:space="preserve">entirely subordinated to the word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and indicating, not the purpose of the main</w:t>
        <w:br w:type="textWrapping"/>
        <w:t xml:space="preserve">action of the sentence, but that of the creation, </w:t>
        <w:br w:type="textWrapping"/>
        <w:t xml:space="preserve">a matter lying quite out of the present </w:t>
        <w:br w:type="textWrapping"/>
        <w:t xml:space="preserve">record. So that, it seems to me, we</w:t>
        <w:br w:type="textWrapping"/>
        <w:t xml:space="preserve">must fall back on 1), viz. the making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order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belong to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remaining,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action of the sentence. This, it is</w:t>
        <w:br w:type="textWrapping"/>
        <w:t xml:space="preserve">true, is not without difficulty. For, a)</w:t>
        <w:br w:type="textWrapping"/>
        <w:t xml:space="preserve">even thus we must go some little out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 way for a sense for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remain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though</w:t>
        <w:br w:type="textWrapping"/>
        <w:t xml:space="preserve">not so far as in the other case. It must</w:t>
        <w:br w:type="textWrapping"/>
        <w:t xml:space="preserve">then mean,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may remain over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things shaken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gone: may be per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anently </w:t>
        <w:br w:type="textWrapping"/>
        <w:t xml:space="preserve">left: to which sense there is</w:t>
        <w:br w:type="textWrapping"/>
        <w:t xml:space="preserve">no objection, but it does not exactly fit</w:t>
        <w:br w:type="textWrapping"/>
        <w:t xml:space="preserve">the requirements of the sentence: b) if</w:t>
        <w:br w:type="textWrapping"/>
        <w:t xml:space="preserve">the term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have been made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taken</w:t>
        <w:br w:type="textWrapping"/>
        <w:t xml:space="preserve">absolutely, we might be met by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from Isa.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xvi. 22, to shew that the</w:t>
        <w:br w:type="textWrapping"/>
        <w:t xml:space="preserve">new heavens and the new earth are also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also Isa. lxv. 17, 18. The answer </w:t>
        <w:br w:type="textWrapping"/>
        <w:t xml:space="preserve">to this must be, though I own it is</w:t>
        <w:br w:type="textWrapping"/>
        <w:t xml:space="preserve">not altogether a satisfactory one, that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making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not the same in the two cases:</w:t>
        <w:br w:type="textWrapping"/>
        <w:t xml:space="preserve">that this word carries rather with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hands, of this creation,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that word</w:t>
        <w:br w:type="textWrapping"/>
        <w:t xml:space="preserve">is explained, ch. ix. 11: whereas the other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make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rests in the almighty power of</w:t>
        <w:br w:type="textWrapping"/>
        <w:t xml:space="preserve">God, by which the spirit-world as well</w:t>
        <w:br w:type="textWrapping"/>
        <w:t xml:space="preserve">as the world of sense was called into</w:t>
        <w:br w:type="textWrapping"/>
        <w:t xml:space="preserve">existence. See by all means, on the</w:t>
        <w:br w:type="textWrapping"/>
        <w:t xml:space="preserve">whole, Luke xxi. 26).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Wherefore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(gathers its inference, not from the</w:t>
        <w:br w:type="textWrapping"/>
        <w:t xml:space="preserve">whole preceding paragraph, but from the</w:t>
        <w:br w:type="textWrapping"/>
        <w:t xml:space="preserve">yet once more shaking and consequent</w:t>
        <w:br w:type="textWrapping"/>
        <w:t xml:space="preserve">removing of earthly things before those</w:t>
        <w:br w:type="textWrapping"/>
        <w:t xml:space="preserve">things which shall remain)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receiving as</w:t>
        <w:br w:type="textWrapping"/>
        <w:t xml:space="preserve">we do a kingdom which cannot be shaken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participle,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receiving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descriptive of</w:t>
        <w:br w:type="textWrapping"/>
        <w:t xml:space="preserve">our Christian state of privilege and expectation: </w:t>
        <w:br w:type="textWrapping"/>
        <w:t xml:space="preserve">designating us by anticipation as</w:t>
        <w:br w:type="textWrapping"/>
        <w:t xml:space="preserve">in possession of that, whose firstfruits and</w:t>
        <w:br w:type="textWrapping"/>
        <w:t xml:space="preserve">foretastes we do actually possess),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us</w:t>
        <w:br w:type="textWrapping"/>
        <w:t xml:space="preserve">have thankfulness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Chrysostom, and</w:t>
        <w:br w:type="textWrapping"/>
        <w:t xml:space="preserve">most Commentators, ancient and modern.</w:t>
        <w:br w:type="textWrapping"/>
        <w:t xml:space="preserve">Others render, as the A. V., “let us</w:t>
        <w:br w:type="textWrapping"/>
        <w:t xml:space="preserve">have, or hold fast grace,” which is</w:t>
        <w:br w:type="textWrapping"/>
        <w:t xml:space="preserve">hardly a legitimate rendering. So the</w:t>
        <w:br w:type="textWrapping"/>
        <w:t xml:space="preserve">Syri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Beza, Estius, Schlichting, Grotius,</w:t>
        <w:br w:type="textWrapping"/>
        <w:t xml:space="preserve">and others, On the sense, see Ps.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23</w:t>
        <w:br w:type="textWrapping"/>
        <w:t xml:space="preserve">“Whoso offereth me thanks and praise,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honoureth me”),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whic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(thankfulness)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us serve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cannot be taken as in</w:t>
        <w:br w:type="textWrapping"/>
        <w:t xml:space="preserve">A.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“by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may serve,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but must</w:t>
        <w:br w:type="textWrapping"/>
        <w:t xml:space="preserve">be hortatory like the other)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 well-</w:t>
        <w:br w:type="textWrapping"/>
        <w:t xml:space="preserve">pleasingly with reverent submission and</w:t>
        <w:br w:type="textWrapping"/>
        <w:t xml:space="preserve">fear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on ch. v. 7)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N8sBAvOeSieupanZCv0gLo68fiA==">AMUW2mU9XuRL0GlOt2IaTlilL7w8i77V6XLD20EuqyNgBQw7gCoeILE1WyndigLTnQqrpcJsuQ0B4j8kOL9o8cK/E2UHHj6ENjVvc22Zn8adq9+fNuFK/gQ=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