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Jesus Christ. The whole majesty of the</w:t>
        <w:br w:type="textWrapping"/>
        <w:t xml:space="preserve">sentence requires this reverting to its</w:t>
        <w:br w:type="textWrapping"/>
        <w:t xml:space="preserve">main agent, and speaks against the referring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whom be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our Blessed</w:t>
        <w:br w:type="textWrapping"/>
        <w:t xml:space="preserve">Lord, who is only incidentally mentioned.</w:t>
        <w:br w:type="textWrapping"/>
        <w:t xml:space="preserve">See the very similar construction of 1 Pet. iv.</w:t>
        <w:br w:type="textWrapping"/>
        <w:t xml:space="preserve">11, where however the reference is not by</w:t>
        <w:br w:type="textWrapping"/>
        <w:t xml:space="preserve">any means equally certain)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1 Pet. iv.</w:t>
        <w:br w:type="textWrapping"/>
        <w:t xml:space="preserve">11,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possibly also here: but perhaps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the more probable supplement)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glory for ever. Amen.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(breaking off, see above, ver. 20)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beseech you, brethren, endure the word</w:t>
        <w:br w:type="textWrapping"/>
        <w:t xml:space="preserve">of my exhortation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exhortation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expression applies without doubt to the</w:t>
        <w:br w:type="textWrapping"/>
        <w:t xml:space="preserve">whole Epistle, from what follows: not as</w:t>
        <w:br w:type="textWrapping"/>
        <w:t xml:space="preserve">Beza, aud others, to the few exhortations</w:t>
        <w:br w:type="textWrapping"/>
        <w:t xml:space="preserve">preceding, nor as Grotius, to ch. x.–xiii,</w:t>
        <w:br w:type="textWrapping"/>
        <w:t xml:space="preserve">only: nor as Kuinoel, and others, to the</w:t>
        <w:br w:type="textWrapping"/>
        <w:t xml:space="preserve">exhortations scattered up and down in the</w:t>
        <w:br w:type="textWrapping"/>
        <w:t xml:space="preserve">Epistle);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(besides other reasons,</w:t>
        <w:br w:type="textWrapping"/>
        <w:t xml:space="preserve">there is this)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means of, in the material of)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(few in comparison</w:t>
        <w:br w:type="textWrapping"/>
        <w:t xml:space="preserve">of what might have been said on such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written to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know,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my Greek</w:t>
        <w:br w:type="textWrapping"/>
        <w:t xml:space="preserve">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our brother Timothy is dismissed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(the word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rendered does</w:t>
        <w:br w:type="textWrapping"/>
        <w:t xml:space="preserve">not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in St. Paul, but is frequent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 Luke; e.g.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xxii, 68; xxiii. 16</w:t>
        <w:br w:type="textWrapping"/>
        <w:t xml:space="preserve">ff.; Acts iii.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21, of dismissal from</w:t>
        <w:br w:type="textWrapping"/>
        <w:t xml:space="preserve">prison or custody; Acts xiii. 3; xv. 30,</w:t>
        <w:br w:type="textWrapping"/>
        <w:t xml:space="preserve">of official sending away; Acts xv. 33, of</w:t>
        <w:br w:type="textWrapping"/>
        <w:t xml:space="preserve">solemn dismissal; and Acts xix. 41, xxiii.</w:t>
        <w:br w:type="textWrapping"/>
        <w:t xml:space="preserve">22, of simple dismissal),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whom, if</w:t>
        <w:br w:type="textWrapping"/>
        <w:t xml:space="preserve">he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(“to me: it is probable, that</w:t>
        <w:br w:type="textWrapping"/>
        <w:t xml:space="preserve">Timothy had been discharged from prison,</w:t>
        <w:br w:type="textWrapping"/>
        <w:t xml:space="preserve">but had not yet reached St. Paul for,</w:t>
        <w:br w:type="textWrapping"/>
        <w:t xml:space="preserve">the writer, whoever he was]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menius)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soon, I will see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going to</w:t>
        <w:br w:type="textWrapping"/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Salute all your leaders,</w:t>
        <w:br w:type="textWrapping"/>
        <w:t xml:space="preserve">and all the saints, They from Italy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lute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this,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Introd., § ii. 13).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</w:t>
        <w:br w:type="textWrapping"/>
        <w:t xml:space="preserve">God. “He does not express whose grace</w:t>
        <w:br w:type="textWrapping"/>
        <w:t xml:space="preserve">and favour he wishes for them, as that</w:t>
        <w:br w:type="textWrapping"/>
        <w:t xml:space="preserve">was a matter notorious to all Christians.”</w:t>
        <w:br w:type="textWrapping"/>
        <w:t xml:space="preserve">Schlichting)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with all of you. Amen.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eV17+ZWKCWtmjPIY952YuJtliw==">AMUW2mUvfUBU0PWdzX7gdBIlLZvb2D57mkfz34EIcAD2Pfdu/1upzkn0DAak4O/M5kFcdUOT9/u2BRBolwveezMB5z8hb67MOB0MViz9P/ELjkofgLFGhGs=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