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readers being all Jews)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(accounted righteous before God. No</w:t>
        <w:br w:type="textWrapping"/>
        <w:t xml:space="preserve">other meaning will satis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connexion,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inevitable to any intelligent reader, between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justification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salvation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ver.</w:t>
        <w:br w:type="textWrapping"/>
        <w:t xml:space="preserve">14: which again is connected with the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about to be judged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ver. 12.</w:t>
        <w:br w:type="textWrapping"/>
        <w:t xml:space="preserve">Commentators have éndeavoured to evade</w:t>
        <w:br w:type="textWrapping"/>
        <w:t xml:space="preserve">this full meaning, in various ways. On the</w:t>
        <w:br w:type="textWrapping"/>
        <w:t xml:space="preserve">difficulty itself, see in the Introduction)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ground of the justification :</w:t>
        <w:br w:type="textWrapping"/>
        <w:t xml:space="preserve">precisely as St. Paul so constantly uses</w:t>
        <w:br w:type="textWrapping"/>
        <w:t xml:space="preserve">the phrase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be justified by, or out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category to which the</w:t>
        <w:br w:type="textWrapping"/>
        <w:t xml:space="preserve">ground of his justification belonged. It</w:t>
        <w:br w:type="textWrapping"/>
        <w:t xml:space="preserve">was one especial work, in matter of fact :</w:t>
        <w:br w:type="textWrapping"/>
        <w:t xml:space="preserve">and that work, itself springing out of preeminent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faith),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he offered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as</w:t>
        <w:br w:type="textWrapping"/>
        <w:t xml:space="preserve">A. V.,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offered’)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Isaac his son at the</w:t>
        <w:br w:type="textWrapping"/>
        <w:t xml:space="preserve">altar?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seest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(better not a</w:t>
        <w:br w:type="textWrapping"/>
        <w:t xml:space="preserve">question: in which case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ver.</w:t>
        <w:br w:type="textWrapping"/>
        <w:t xml:space="preserve">23 does not follow so naturally as when we</w:t>
        <w:br w:type="textWrapping"/>
        <w:t xml:space="preserve">couple the direct verb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 the direct</w:t>
        <w:br w:type="textWrapping"/>
        <w:t xml:space="preserve">verb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fulfilled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A. V.:</w:t>
        <w:br w:type="textWrapping"/>
        <w:t xml:space="preserve">it is not the manner in which, nor even</w:t>
        <w:br w:type="textWrapping"/>
        <w:t xml:space="preserve">‘how,’ in the sense of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which is</w:t>
        <w:br w:type="textWrapping"/>
        <w:t xml:space="preserve">meant. The assertion is, that the inference</w:t>
        <w:br w:type="textWrapping"/>
        <w:t xml:space="preserve">indubitable, that the fact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stated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 wrought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(at the time, ‘was working’)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his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plural again is categorical,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work in the example being</w:t>
        <w:br w:type="textWrapping"/>
        <w:t xml:space="preserve">but one),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ground</w:t>
        <w:br w:type="textWrapping"/>
        <w:t xml:space="preserve">and source)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(again categorical; the</w:t>
        <w:br w:type="textWrapping"/>
        <w:t xml:space="preserve">general proposition proved by the  particular case. Doubtless this second time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might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‘by his works, his faith…:’</w:t>
        <w:br w:type="textWrapping"/>
        <w:t xml:space="preserve">but the other is more like St. James, who</w:t>
        <w:br w:type="textWrapping"/>
        <w:t xml:space="preserve">is singularly given to introduce abstract</w:t>
        <w:br w:type="textWrapping"/>
        <w:t xml:space="preserve">propositions as applicable to particular</w:t>
        <w:br w:type="textWrapping"/>
        <w:t xml:space="preserve">cases)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made complete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(in one act, once for all. The Apostle’s</w:t>
        <w:br w:type="textWrapping"/>
        <w:t xml:space="preserve">argument is, that faith is developed and</w:t>
        <w:br w:type="textWrapping"/>
        <w:t xml:space="preserve">brought to perfection by obedience: see</w:t>
        <w:br w:type="textWrapping"/>
        <w:t xml:space="preserve">below on yer. 26. And hence also is it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evident, how 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 with his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Apostle’s own comparison, ver. 26,</w:t>
        <w:br w:type="textWrapping"/>
        <w:t xml:space="preserve">faith is the body, obedience the spirit: faith</w:t>
        <w:br w:type="textWrapping"/>
        <w:t xml:space="preserve">without obedience is dead, until obedience,</w:t>
        <w:br w:type="textWrapping"/>
        <w:t xml:space="preserve">the spirit, sets faith in motion: then faith,</w:t>
        <w:br w:type="textWrapping"/>
        <w:t xml:space="preserve">like the limbs of the body, moves with and</w:t>
        <w:br w:type="textWrapping"/>
        <w:t xml:space="preserve">works with the acts of obedience. Which</w:t>
        <w:br w:type="textWrapping"/>
        <w:t xml:space="preserve">is prior in time, which the ground of the</w:t>
        <w:br w:type="textWrapping"/>
        <w:t xml:space="preserve">other, is a point not touched by St. James</w:t>
        <w:br w:type="textWrapping"/>
        <w:t xml:space="preserve">at all);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scripture was fulfilled</w:t>
        <w:br w:type="textWrapping"/>
        <w:t xml:space="preserve">which saith, But Abraham believed God,</w:t>
        <w:br w:type="textWrapping"/>
        <w:t xml:space="preserve">and it was reckoned unto him for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that saying of Scripture which</w:t>
        <w:br w:type="textWrapping"/>
        <w:t xml:space="preserve">long preceded the offering of Isaac, received</w:t>
        <w:br w:type="textWrapping"/>
        <w:t xml:space="preserve">its realization, not, it may be, its only realization, but certainly its chief one, in this</w:t>
        <w:br w:type="textWrapping"/>
        <w:t xml:space="preserve">act of obedience. It was not, until this,</w:t>
        <w:br w:type="textWrapping"/>
        <w:t xml:space="preserve">fulfilled, in the sense of being entirely exemplified and filled up. Wiesinger combats this sense as an unworthy one: no</w:t>
        <w:br w:type="textWrapping"/>
        <w:t xml:space="preserve">such objection as that which he brings [viz.</w:t>
        <w:br w:type="textWrapping"/>
        <w:t xml:space="preserve">that we make thus the truth of God’s saying</w:t>
        <w:br w:type="textWrapping"/>
        <w:t xml:space="preserve">depend on Abraham’s subsequent condu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lies against our view, that the saying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on, and not till this occasion, its entire</w:t>
        <w:br w:type="textWrapping"/>
        <w:t xml:space="preserve">and full realization. It was true, when</w:t>
        <w:br w:type="textWrapping"/>
        <w:t xml:space="preserve">uttered: but it became more and more</w:t>
        <w:br w:type="textWrapping"/>
        <w:t xml:space="preserve">gloriously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Abraham’s life and acts</w:t>
        <w:br w:type="textWrapping"/>
        <w:t xml:space="preserve">till it reached this its culminating point,</w:t>
        <w:br w:type="textWrapping"/>
        <w:t xml:space="preserve">in his chief act of self-denying obedience)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was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(couple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reckoned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God's friend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loved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loving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appellation of Abrabam is not found in the</w:t>
        <w:br w:type="textWrapping"/>
        <w:t xml:space="preserve">Septuagint. In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xviii. 17, where they</w:t>
        <w:br w:type="textWrapping"/>
        <w:t xml:space="preserve">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Abraham my 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Philo cites</w:t>
        <w:br w:type="textWrapping"/>
        <w:t xml:space="preserve">it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friend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 in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seed of Abraham</w:t>
        <w:br w:type="textWrapping"/>
        <w:t xml:space="preserve">whom I 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endered by the Vulgate</w:t>
        <w:br w:type="textWrapping"/>
        <w:t xml:space="preserve">and by the A. V. ‘the seed of Abraham my</w:t>
        <w:br w:type="textWrapping"/>
        <w:t xml:space="preserve">friend.’ So also in 2 Chron. xx. 7).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inference from the example</w:t>
        <w:br w:type="textWrapping"/>
        <w:t xml:space="preserve">of Abraham.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see that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(from, out</w:t>
        <w:br w:type="textWrapping"/>
        <w:t xml:space="preserve">of, as a source)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 a man is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0T13:31:04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23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X8tr/YBjwJrkYzvtx0qrR0zoIA==">AMUW2mWoifw412scfsdfkJ3SqVlAan5kgdJZ5kYTA7r0+3D3QEOIpsugQJYmGaEZN2waDDOLuzFvboIY1DeJkL+JHkNIzm1LwObioQiBpch0UtHW0qxBm71OmmHZqwE4lTH6TZdPRREtod+9CuffXW38sYTazVTzHwknL/UzD0GOJzDyke7xTkYiPxLA+C8TpYlHoPRoWtcmUcuzGy8PF4sNAGysWuP2vbK0uHFy8ILz3GX07fz1M8Z6SRu5I2efQmlN/Q5AHQObVfxRFvW/kmvSvFvSIxFcQ+bp7lCRiCCakr8Gf1sONxg9peAYW2q7U7YED1zygTxEyoxzl8RjKWxp68l7V2DEMqu3mVrJtD5zDFNUnGvVijszXAGblIm3ACsSPORqd0FqkVSNepkZQuME8Pui8oJ9sMsi2QLbrZoQYKpHRn4Xn6ZTCxtpTh2j+potKEydwVXtyFjsJUR2B8N4J79p7B48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