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(accounted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righteous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before God, as above),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not by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(from)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faith only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(notice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St.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James never says that a man is not</w:t>
        <w:br w:type="textWrapping"/>
        <w:t xml:space="preserve">justified by faith, provided that faith include in it the condition of obedience: but</w:t>
        <w:br w:type="textWrapping"/>
        <w:t xml:space="preserve">by faith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only, without works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is no man</w:t>
        <w:br w:type="textWrapping"/>
        <w:t xml:space="preserve">justified).</w:t>
        <w:br w:type="textWrapping"/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25.]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example of Rahab.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Various</w:t>
        <w:br w:type="textWrapping"/>
        <w:t xml:space="preserve">reasons have be assigned for this example</w:t>
        <w:br w:type="textWrapping"/>
        <w:t xml:space="preserve">being added. See the whole matter discussed</w:t>
        <w:br w:type="textWrapping"/>
        <w:t xml:space="preserve">in the Introduction, §3.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in like manner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(with Abraham)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was not Rahab the harlot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(to be taken literally: see on Heb. xi.</w:t>
        <w:br w:type="textWrapping"/>
        <w:t xml:space="preserve">31)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justified by works, when she received</w:t>
        <w:br w:type="textWrapping"/>
        <w:t xml:space="preserve">the messengers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(spies, Heb. xi. 31),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</w:t>
        <w:br w:type="textWrapping"/>
        <w:t xml:space="preserve">thrust them forth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(in haste and fear, Josh.</w:t>
        <w:br w:type="textWrapping"/>
        <w:t xml:space="preserve">ii. 15, 16: the term is not simply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sent</w:t>
        <w:br w:type="textWrapping"/>
        <w:t xml:space="preserve">then forth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by another way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(viz.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through</w:t>
        <w:br w:type="textWrapping"/>
        <w:t xml:space="preserve">the window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Josh. ii. 15)? 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26.]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General conclusion to the argument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but</w:t>
        <w:br w:type="textWrapping"/>
        <w:t xml:space="preserve">in the form of a comparison, as in ver.</w:t>
        <w:br w:type="textWrapping"/>
        <w:t xml:space="preserve">17.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binds the verse on to the</w:t>
        <w:br w:type="textWrapping"/>
        <w:t xml:space="preserve">foregoing, and makes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rather depend on</w:t>
        <w:br w:type="textWrapping"/>
        <w:t xml:space="preserve">this axiom, than this axiom a conclusion</w:t>
        <w:br w:type="textWrapping"/>
        <w:t xml:space="preserve">from it: ‘it must be so, Rahab must have</w:t>
        <w:br w:type="textWrapping"/>
        <w:t xml:space="preserve">been thus justified, seeing that…’)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just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as the body without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(separate from)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spirit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(or, the spirit)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is dead, so also faith without works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(or without its works, the works</w:t>
        <w:br w:type="textWrapping"/>
        <w:t xml:space="preserve">belonging to it: as in ver. 20)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is dead.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This comparison has been found matter of</w:t>
        <w:br w:type="textWrapping"/>
        <w:t xml:space="preserve">surprise to some Commentators, inasmuch</w:t>
        <w:br w:type="textWrapping"/>
        <w:t xml:space="preserve">as the things compared do not seem relatively to correspond. Faith is unquestionably a thing spiritual: works are external</w:t>
        <w:br w:type="textWrapping"/>
        <w:t xml:space="preserve">and material : so that it would seem as if</w:t>
        <w:br w:type="textWrapping"/>
        <w:t xml:space="preserve">the members of the comparison should</w:t>
        <w:br w:type="textWrapping"/>
        <w:t xml:space="preserve">have been inverted, and works made the</w:t>
        <w:br w:type="textWrapping"/>
        <w:t xml:space="preserve">body, faith the spirit. But the Apostle’s</w:t>
        <w:br w:type="textWrapping"/>
        <w:t xml:space="preserve">view seems rather to be this: Faith is the</w:t>
        <w:br w:type="textWrapping"/>
        <w:t xml:space="preserve">body, the sum and substance, of the Christian life:  works (obedience), the moving and</w:t>
        <w:br w:type="textWrapping"/>
        <w:t xml:space="preserve">quickening of that body; just as the</w:t>
        <w:br w:type="textWrapping"/>
        <w:t xml:space="preserve">spirit is the moving and quickening prin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ciple of the natnral body. So that as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ody without the spirit is dead, so faith</w:t>
        <w:br w:type="textWrapping"/>
        <w:t xml:space="preserve">without works is also dead.</w:t>
        <w:br w:type="textWrapping"/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CHAP. III.]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) 1-12.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danger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as connected with the upholding of faith</w:t>
        <w:br w:type="textWrapping"/>
        <w:t xml:space="preserve">without works,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eagerness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 teach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and,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occasion,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manifold and irrepressible sins of the tongue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Then follows, b)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13—18.]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 exhortation, to prove a man’s</w:t>
        <w:br w:type="textWrapping"/>
        <w:t xml:space="preserve">wisdom by mildness, not by a contentious</w:t>
        <w:br w:type="textWrapping"/>
        <w:t xml:space="preserve">spirit.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more the idea prevailed, that faith,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without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corresponding</w:t>
        <w:br w:type="textWrapping"/>
        <w:t xml:space="preserve">obedience, was all that is needful, the more</w:t>
        <w:br w:type="textWrapping"/>
        <w:t xml:space="preserve">men would eagerly press forward to teach:</w:t>
        <w:br w:type="textWrapping"/>
        <w:t xml:space="preserve">as indeed the Church his found in all ages</w:t>
        <w:br w:type="textWrapping"/>
        <w:t xml:space="preserve">when such an opinion has become prevalent: for then teachers and preachers of</w:t>
        <w:br w:type="textWrapping"/>
        <w:t xml:space="preserve">their own appointing have rapidly 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ulti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plied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ecome not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let not that</w:t>
        <w:br w:type="textWrapping"/>
        <w:t xml:space="preserve">state of things prevail among yo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which</w:t>
        <w:br w:type="textWrapping"/>
        <w:t xml:space="preserve">you become)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many teachers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(not, as A. V.,</w:t>
        <w:br w:type="textWrapping"/>
        <w:t xml:space="preserve">‘masters,’ which conveys a wrong idea: but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teachers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persons imparting knowledge in</w:t>
        <w:br w:type="textWrapping"/>
        <w:t xml:space="preserve">the congregation. This in the primitive</w:t>
        <w:br w:type="textWrapping"/>
        <w:t xml:space="preserve">times might be done by all in turn, as we</w:t>
        <w:br w:type="textWrapping"/>
        <w:t xml:space="preserve">know from 1 Cor. xiv. 26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33: and St.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ames exhorts against the too eager and</w:t>
        <w:br w:type="textWrapping"/>
        <w:t xml:space="preserve">too general assumption of this privilege),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my brethren, knowing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ye do: or, as</w:t>
        <w:br w:type="textWrapping"/>
        <w:t xml:space="preserve">ye ought to do: it is a good remark</w:t>
        <w:br w:type="textWrapping"/>
        <w:t xml:space="preserve">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Huther’s, that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knowing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being closely</w:t>
        <w:br w:type="textWrapping"/>
        <w:t xml:space="preserve">joined to the imperative, is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self hortatory:</w:t>
        <w:br w:type="textWrapping"/>
        <w:t xml:space="preserve">‘knowing, as ye might know’)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we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(i.e. as many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as are teachers)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 receive greater condemnation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(than</w:t>
        <w:br w:type="textWrapping"/>
        <w:t xml:space="preserve">others who are not teachers. This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so, it has surprised some Commentators</w:t>
        <w:br w:type="textWrapping"/>
        <w:t xml:space="preserve">that the Apostle includes himself with</w:t>
        <w:br w:type="textWrapping"/>
        <w:t xml:space="preserve">those whom he is diss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ading: but the</w:t>
        <w:br w:type="textWrapping"/>
        <w:t xml:space="preserve">solution is easy,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viz. that he includes himself out of humility, and obviously on the</w:t>
        <w:br w:type="textWrapping"/>
        <w:t xml:space="preserve">assumption that the office of teacher is not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faithfully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performed. The sense might he</w:t>
        <w:br w:type="textWrapping"/>
        <w:t xml:space="preserve">thus filled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p, as, indeed, it is virtually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KXPsoJfwuQFwcvo0GASMm14oCA==">CgMxLjA4AHIhMXdPdXpERHgya2s0clFocUFfZHZXZnhCbENGbXNNby1M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