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true view of it: ‘come on,’ let us</w:t>
        <w:br w:type="textWrapping"/>
        <w:t xml:space="preserve">reason together: as in Isa. i. 18.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serves to mark the time, as noted by</w:t>
        <w:br w:type="textWrapping"/>
        <w:t xml:space="preserve">the point to which the argument of the</w:t>
        <w:br w:type="textWrapping"/>
        <w:t xml:space="preserve">Epistle has arrived),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that say To-day,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to-morrow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supposes an alternative,</w:t>
        <w:br w:type="textWrapping"/>
        <w:t xml:space="preserve">“to-day, it may be, or to-morrow:” if,</w:t>
        <w:br w:type="textWrapping"/>
        <w:t xml:space="preserve">with some ancient MSS., we read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two days are assigned for the journey,</w:t>
        <w:br w:type="textWrapping"/>
        <w:t xml:space="preserve">without any alternative),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will go into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(most Commentators render,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  <w:br w:type="textWrapping"/>
        <w:t xml:space="preserve">or that,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equivalent to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as A. V.:</w:t>
        <w:br w:type="textWrapping"/>
        <w:t xml:space="preserve">but this is not the usage of the word</w:t>
        <w:br w:type="textWrapping"/>
        <w:t xml:space="preserve">in the original.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expresses in</w:t>
        <w:br w:type="textWrapping"/>
        <w:t xml:space="preserve">general terms the city then present to the</w:t>
        <w:br w:type="textWrapping"/>
        <w:t xml:space="preserve">mind of the speaker)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city, and will spend</w:t>
        <w:br w:type="textWrapping"/>
        <w:t xml:space="preserve">there one year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(A. V., “continue there a</w:t>
        <w:br w:type="textWrapping"/>
        <w:t xml:space="preserve">year,” is not accurate. It is, “spend a year</w:t>
        <w:br w:type="textWrapping"/>
        <w:t xml:space="preserve">there,” which savours of presumption much</w:t>
        <w:br w:type="textWrapping"/>
        <w:t xml:space="preserve">more strongly and vividly. They speak,</w:t>
        <w:br w:type="textWrapping"/>
        <w:t xml:space="preserve">as Bengel says, as if intending afterwards</w:t>
        <w:br w:type="textWrapping"/>
        <w:t xml:space="preserve">to settle about the following years),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will traffic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word brings up the worldly</w:t>
        <w:br w:type="textWrapping"/>
        <w:t xml:space="preserve">nature of the plan)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get gain: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whereas ye know not the (event)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more general</w:t>
        <w:br w:type="textWrapping"/>
        <w:t xml:space="preserve">and indefinite, the better. The original</w:t>
        <w:br w:type="textWrapping"/>
        <w:t xml:space="preserve">has only,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of the morrow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morrow: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(substantiates the ignorance</w:t>
        <w:br w:type="textWrapping"/>
        <w:t xml:space="preserve">just alleged)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what sort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(depreciative,</w:t>
        <w:br w:type="textWrapping"/>
        <w:t xml:space="preserve">as in 1 Pet. ii. 20)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your life?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(refers</w:t>
        <w:br w:type="textWrapping"/>
        <w:t xml:space="preserve">to the depreciative force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what sort: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“I may well pour contempt on it, for…”)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(ye yourselves: so that any thing</w:t>
        <w:br w:type="textWrapping"/>
        <w:t xml:space="preserve">of yours, even your life, must partake of</w:t>
        <w:br w:type="textWrapping"/>
        <w:t xml:space="preserve">the same unstability and transitoriness.</w:t>
        <w:br w:type="textWrapping"/>
        <w:t xml:space="preserve">So in ch. i. 10 the rich is said to</w:t>
        <w:br w:type="textWrapping"/>
        <w:t xml:space="preserve">pass away as the flower of the grass.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not a thing</w:t>
        <w:br w:type="textWrapping"/>
        <w:t xml:space="preserve">seen,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 for a little</w:t>
        <w:br w:type="textWrapping"/>
        <w:t xml:space="preserve">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vapour, which appeareth for a</w:t>
        <w:br w:type="textWrapping"/>
        <w:t xml:space="preserve">little time, afterwards, as it appeared,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‘vanishing as it came’)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vanishing: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14 was parenthetical,</w:t>
        <w:br w:type="textWrapping"/>
        <w:t xml:space="preserve">and demonstrated the folly of their conduct. Now the sense proceeds)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instead</w:t>
        <w:br w:type="textWrapping"/>
        <w:t xml:space="preserve">of your saying, If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(God, as usual</w:t>
        <w:br w:type="textWrapping"/>
        <w:t xml:space="preserve">in this Epistle: see on ver.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(properly, shall have willed; i.e. have so</w:t>
        <w:br w:type="textWrapping"/>
        <w:t xml:space="preserve">determined 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counsel),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</w:t>
        <w:br w:type="textWrapping"/>
        <w:t xml:space="preserve">both live, and shall do this or that.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spirit of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 to the divine will just recommended)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things now are,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1 Cor. v.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boast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as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i. 9, ‘make your boast in:’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indicates the state, as in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18;</w:t>
        <w:br w:type="textWrapping"/>
        <w:t xml:space="preserve">and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especially.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the source, but not the material of the</w:t>
        <w:br w:type="textWrapping"/>
        <w:t xml:space="preserve">boasting)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vaingloriousnesses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literally. ‘The word signifies the self-deceived and groundless confidence in the</w:t>
        <w:br w:type="textWrapping"/>
        <w:t xml:space="preserve">stability of life and health on which the</w:t>
        <w:br w:type="textWrapping"/>
        <w:t xml:space="preserve">worldly pride themselves. On this,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 foundation, your boastful speeches are</w:t>
        <w:br w:type="textWrapping"/>
        <w:t xml:space="preserve">built):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such 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oasting so</w:t>
        <w:br w:type="textWrapping"/>
        <w:t xml:space="preserve">made and so grounded)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evil.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conclusion is most naturally understood to refer to the universal notoriety</w:t>
        <w:br w:type="textWrapping"/>
        <w:t xml:space="preserve">of the shortness of human life, and to</w:t>
        <w:br w:type="textWrapping"/>
        <w:t xml:space="preserve">apply only to the subject just treated).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  <w:br w:type="textWrapping"/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(therefore we see by this example the</w:t>
        <w:br w:type="textWrapping"/>
        <w:t xml:space="preserve">truth of the general axiom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</w:t>
        <w:br w:type="textWrapping"/>
        <w:t xml:space="preserve">who knoweth to do good, and doeth it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omits to do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might</w:t>
        <w:br w:type="textWrapping"/>
        <w:t xml:space="preserve">be the case if it were some one definite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mOZxSdmhxDJgo3DTloRBVRKAJA==">AMUW2mUsKB6ULmdW9HbYVCjL9/r7Gt4EvoXHaN41cBtTi25MTB6PHkcdxLnQDldykXDcyf3D7F3ph5kA7irtc3Jt2siyv/8EBUPc97vtHLEK0QpJ4pik+58=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