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him that has been seduced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but any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sinner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shall save a soul from death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(in eternity:</w:t>
        <w:br w:type="textWrapping"/>
        <w:t xml:space="preserve">the future shews that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salvation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spoken</w:t>
        <w:br w:type="textWrapping"/>
        <w:t xml:space="preserve">of is not contemporary with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conversion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but its ultimate result),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shall cover a</w:t>
        <w:br w:type="textWrapping"/>
        <w:t xml:space="preserve">multitude of sins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(viz. by introducing the</w:t>
        <w:br w:type="textWrapping"/>
        <w:t xml:space="preserve">convert into that state of Christian faith,</w:t>
        <w:br w:type="textWrapping"/>
        <w:t xml:space="preserve">wherein all sins past, present, and future,</w:t>
        <w:br w:type="textWrapping"/>
        <w:t xml:space="preserve">are forgiven and done away. See 1 Pet. iv.</w:t>
        <w:br w:type="textWrapping"/>
        <w:t xml:space="preserve">8, and for the expression, Ps. xxxi. 1;</w:t>
        <w:br w:type="textWrapping"/>
        <w:t xml:space="preserve">Neh. iv. 5. The word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sins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following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sinners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necessarily binds the reference to</w:t>
        <w:br w:type="textWrapping"/>
        <w:t xml:space="preserve">the converted, not the converters. It is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sins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[the ancient Syriac version</w:t>
        <w:br w:type="textWrapping"/>
        <w:t xml:space="preserve">so renders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beca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 the Apostle wishes to</w:t>
        <w:br w:type="textWrapping"/>
        <w:t xml:space="preserve">put in its most striking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stract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light the</w:t>
        <w:br w:type="textWrapping"/>
        <w:t xml:space="preserve">good deed thus done.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objection that</w:t>
        <w:br w:type="textWrapping"/>
        <w:t xml:space="preserve">thus we should have a tautology,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saving of the soul of the converted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including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overing of his sins, is entirely</w:t>
        <w:br w:type="textWrapping"/>
        <w:t xml:space="preserve">obviated by 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latter considerat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ion. The</w:t>
        <w:br w:type="textWrapping"/>
        <w:t xml:space="preserve">idea that they are the sins of the converter</w:t>
        <w:br w:type="textWrapping"/>
        <w:t xml:space="preserve">is thus abhorrent from the context,</w:t>
        <w:br w:type="textWrapping"/>
        <w:t xml:space="preserve">as it is generally repugnant to apostolic</w:t>
        <w:br w:type="textWrapping"/>
        <w:t xml:space="preserve">teaching. Compare, on the whole, 1 Pet.</w:t>
        <w:br w:type="textWrapping"/>
        <w:t xml:space="preserve">iv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8).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fXZNwLB3JQqeDgp+yrq0CR3lnJw==">AMUW2mX79buPTUiBTEX7EezgKWAdFnUlB1qaE1YyzkLxWXOzuWDKYpFpw5pmUNTJtPGuWLy7edds460KeRbpI0Gjrg3l9q058UAhq8tpADPyNO5QZ5wiIGk=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