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good to the flock;—rendy and enthusiastic,</w:t>
        <w:br w:type="textWrapping"/>
        <w:t xml:space="preserve">as [the illustration is Bede’s] the children</w:t>
        <w:br w:type="textWrapping"/>
        <w:t xml:space="preserve">of Israel, and even the workmen, gave</w:t>
        <w:br w:type="textWrapping"/>
        <w:t xml:space="preserve">their services eagerly and gratuitously to</w:t>
        <w:br w:type="textWrapping"/>
        <w:t xml:space="preserve">build the tabernacle of old);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yet as</w:t>
        <w:br w:type="textWrapping"/>
        <w:t xml:space="preserve">lording it 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(using the rights of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for the diminution of the ruled and the</w:t>
        <w:br w:type="textWrapping"/>
        <w:t xml:space="preserve">exaltation of self. Christian rulers of the</w:t>
        <w:br w:type="textWrapping"/>
        <w:t xml:space="preserve">church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set over the church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(1 Thess.</w:t>
        <w:br w:type="textWrapping"/>
        <w:t xml:space="preserve">v. 12; Rom. xii. 8],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leaders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[Luke xxii.</w:t>
        <w:br w:type="textWrapping"/>
        <w:t xml:space="preserve">26], but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lords over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[Luke xxii. 25,</w:t>
        <w:br w:type="textWrapping"/>
        <w:t xml:space="preserve">26]. One is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they are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ministering servants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portions [entrusted to you]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 is the original word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clerus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understood by very many Commentators, and rightly, as is decided by</w:t>
        <w:br w:type="textWrapping"/>
        <w:t xml:space="preserve">the mention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flock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below. See this</w:t>
        <w:br w:type="textWrapping"/>
        <w:t xml:space="preserve">meaning defended in my Greek Test.),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  <w:br w:type="textWrapping"/>
        <w:t xml:space="preserve">becoming patterns of the flock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tyrannizing could only apply to the portion over</w:t>
        <w:br w:type="textWrapping"/>
        <w:t xml:space="preserve">which their authority extended, but the</w:t>
        <w:br w:type="textWrapping"/>
        <w:t xml:space="preserve">good example would be seen and followed</w:t>
        <w:br w:type="textWrapping"/>
        <w:t xml:space="preserve">by the whole church: hence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your portions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the prohibition, but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flock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in the exhortation).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[then] when the</w:t>
        <w:br w:type="textWrapping"/>
        <w:t xml:space="preserve">chief Shepherd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ch, ii, 25; Heb. xiii.</w:t>
        <w:br w:type="textWrapping"/>
        <w:t xml:space="preserve">20: and compare Ezek. xxxiv. 15, 16, 23;</w:t>
        <w:br w:type="textWrapping"/>
        <w:t xml:space="preserve">Matt. xxv. 32)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manifested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(used by</w:t>
        <w:br w:type="textWrapping"/>
        <w:t xml:space="preserve">St. Peter in a double reference, to Christ’s</w:t>
        <w:br w:type="textWrapping"/>
        <w:t xml:space="preserve">first coming, and His second also: see ch.</w:t>
        <w:br w:type="textWrapping"/>
        <w:t xml:space="preserve">i. 20: so also by St. Paul, Col. iii. 4;</w:t>
        <w:br w:type="textWrapping"/>
        <w:t xml:space="preserve">1 Tim. iii. 16: by St. John, 1 John ii. 28,</w:t>
        <w:br w:type="textWrapping"/>
        <w:t xml:space="preserve">iii. 2, 5, 8. Here clearly of the second</w:t>
        <w:br w:type="textWrapping"/>
        <w:t xml:space="preserve">coming. It would not be plain, from this</w:t>
        <w:br w:type="textWrapping"/>
        <w:t xml:space="preserve">passage alone, whether St. Peter regarded</w:t>
        <w:br w:type="textWrapping"/>
        <w:t xml:space="preserve">the coming of the Lord as likely to occur</w:t>
        <w:br w:type="textWrapping"/>
        <w:t xml:space="preserve">in the life of these his readers, or not; but</w:t>
        <w:br w:type="textWrapping"/>
        <w:t xml:space="preserve">as interpreted by the analogy of his other</w:t>
        <w:br w:type="textWrapping"/>
        <w:t xml:space="preserve">expressions on the same subject, it would</w:t>
        <w:br w:type="textWrapping"/>
        <w:t xml:space="preserve">appear that he did),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shall receive the</w:t>
        <w:br w:type="textWrapping"/>
        <w:t xml:space="preserve">amarantine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adjective formed from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amarantus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everlasting, or unfading,</w:t>
        <w:br w:type="textWrapping"/>
        <w:t xml:space="preserve">flower. It does not here mean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unfading,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but must be rendered strictly,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composed</w:t>
        <w:br w:type="textWrapping"/>
        <w:t xml:space="preserve">of that flower: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word in ch. i. 4 is 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different form)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rown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(reff:)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His glory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of glory: but I prefer the other. That</w:t>
        <w:br w:type="textWrapping"/>
        <w:t xml:space="preserve">we shall share his glory, is a point constantly insisted on by St. Peter: see ver. 1, ch. iv. 13, i. 7: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above all, ver. 10</w:t>
        <w:br w:type="textWrapping"/>
        <w:t xml:space="preserve">below. This idea reaches its highest in</w:t>
        <w:br w:type="textWrapping"/>
        <w:t xml:space="preserve">St. John, with whom the inner unity of</w:t>
        <w:br w:type="textWrapping"/>
        <w:t xml:space="preserve">the divine life with the life of Christ is</w:t>
        <w:br w:type="textWrapping"/>
        <w:t xml:space="preserve">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all. Compare especially 1 John iii.</w:t>
        <w:br w:type="textWrapping"/>
        <w:t xml:space="preserve">2f).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5–7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 to the younger, and</w:t>
        <w:br w:type="textWrapping"/>
        <w:t xml:space="preserve">to all, to humility and trust in God.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like manner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mutatis mutandis,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your turn: see ch. iii.7: with the same</w:t>
        <w:br w:type="textWrapping"/>
        <w:t xml:space="preserve">recognition of your position and duties),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younger, be subject to the elders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</w:t>
        <w:br w:type="textWrapping"/>
        <w:t xml:space="preserve">what sense are we to take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here? One part of our answer</w:t>
        <w:br w:type="textWrapping"/>
        <w:t xml:space="preserve">will be very clear: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must be</w:t>
        <w:br w:type="textWrapping"/>
        <w:t xml:space="preserve">in the same sense as above, 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its</w:t>
        <w:br w:type="textWrapping"/>
        <w:t xml:space="preserve">offi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ial historical sense of pres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yters in the</w:t>
        <w:br w:type="textWrapping"/>
        <w:t xml:space="preserve">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This being so, we have now some</w:t>
        <w:br w:type="textWrapping"/>
        <w:t xml:space="preserve">clue to the meaning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younger: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viz. that it cannot mean younger in age</w:t>
        <w:br w:type="textWrapping"/>
        <w:t xml:space="preserve">merely, though this, as regarded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would generally be so, but that as the</w:t>
        <w:br w:type="textWrapping"/>
        <w:t xml:space="preserve">name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elder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an official sense, of superintendents of the church, 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younger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likewise, of those who were the ruled, the</w:t>
        <w:br w:type="textWrapping"/>
        <w:t xml:space="preserve">disciples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Thus taken, it</w:t>
        <w:br w:type="textWrapping"/>
        <w:t xml:space="preserve">will mean here, the rest of the church, as</w:t>
        <w:br w:type="textWrapping"/>
        <w:t xml:space="preserve">opposed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A. V.</w:t>
        <w:br w:type="textWrapping"/>
        <w:t xml:space="preserve">happily thus gives the sens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Why</w:t>
        <w:br w:type="textWrapping"/>
        <w:t xml:space="preserve">should I go on giving these specific injunctions, when one will cover them all?),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gird on humility one to another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</w:t>
        <w:br w:type="textWrapping"/>
        <w:t xml:space="preserve">allusion to our Lord’s action of girding</w:t>
        <w:br w:type="textWrapping"/>
        <w:t xml:space="preserve">Himself with a napkin in the servile</w:t>
        <w:br w:type="textWrapping"/>
        <w:t xml:space="preserve">ministration of washing the disciples’ feet:</w:t>
        <w:br w:type="textWrapping"/>
        <w:t xml:space="preserve">of which He himself said, that He had</w:t>
        <w:br w:type="textWrapping"/>
        <w:t xml:space="preserve">given them an example to do as He did.</w:t>
        <w:br w:type="textWrapping"/>
        <w:t xml:space="preserve">The impression made on St. Peter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this</w:t>
        <w:br w:type="textWrapping"/>
        <w:t xml:space="preserve">proof of his Master’s love is thus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tifully shewn. The verb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gird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variously interpreted. Its derivation 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1" w:date="2023-11-14T19:21:31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4</w:t>
      </w:r>
    </w:p>
  </w:comment>
  <w:comment w:author="Mark Miller" w:id="0" w:date="2023-11-14T19:18:15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3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  <w15:commentEx w15:paraId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leWYWg0tY6cMKuLyvyoPpN5vfA==">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