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1, 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ADDRESS AND GREET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Symeon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form as belonging to our Apostle, is found, besides here,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in Acts xv. 14. Its occurrence is</w:t>
        <w:br w:type="textWrapping"/>
        <w:t xml:space="preserve">at all events a testimony in favour of</w:t>
        <w:br w:type="textWrapping"/>
        <w:t xml:space="preserve">the independence of the second Epistle.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not, in order to make the name</w:t>
        <w:br w:type="textWrapping"/>
        <w:t xml:space="preserve">uniform,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adapted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first: which,</w:t>
        <w:br w:type="textWrapping"/>
        <w:t xml:space="preserve">considering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first, is</w:t>
        <w:br w:type="textWrapping"/>
        <w:t xml:space="preserve">a note, however slight, on the side of its</w:t>
        <w:br w:type="textWrapping"/>
        <w:t xml:space="preserve">genuineness)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Peter a servant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(Rom. i. 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apostle of Jesus Christ, to them that</w:t>
        <w:br w:type="textWrapping"/>
        <w:t xml:space="preserve">have obtained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got for themselves)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ike precious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substance</w:t>
        <w:br w:type="textWrapping"/>
        <w:t xml:space="preserve">of truth believed: faith objective, not</w:t>
        <w:br w:type="textWrapping"/>
        <w:t xml:space="preserve">subjective,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equal value: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which</w:t>
        <w:br w:type="textWrapping"/>
        <w:t xml:space="preserve">confers equal right to God’s kingdom,</w:t>
        <w:br w:type="textWrapping"/>
        <w:t xml:space="preserve">eq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honour and glory. The A. V. has</w:t>
        <w:br w:type="textWrapping"/>
        <w:t xml:space="preserve">hit the meaning very happily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</w:t>
        <w:br w:type="textWrapping"/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1 Pet. ii. 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(apparently, in the first place, the Apostles:</w:t>
        <w:br w:type="textWrapping"/>
        <w:t xml:space="preserve">but more probably, in a wider sense, the</w:t>
        <w:br w:type="textWrapping"/>
        <w:t xml:space="preserve">Jewish Christians, with whom the Gentiles had been admitted into the same</w:t>
        <w:br w:type="textWrapping"/>
        <w:t xml:space="preserve">covenant, and the inheritance of the like</w:t>
        <w:br w:type="textWrapping"/>
        <w:t xml:space="preserve">precious promises)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righteousness of</w:t>
        <w:br w:type="textWrapping"/>
        <w:t xml:space="preserve">our God and [our] Saviour Jesus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(first, concerning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righte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 Commentators take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an attribute of God,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instrumental, by the righteousness,</w:t>
        <w:br w:type="textWrapping"/>
        <w:t xml:space="preserve">goodness, truth, of God: others understand it as the righteousness which God</w:t>
        <w:br w:type="textWrapping"/>
        <w:t xml:space="preserve">gives us, and Christ won for us, explaining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this is</w:t>
        <w:br w:type="textWrapping"/>
        <w:t xml:space="preserve">objectionable,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righteousness</w:t>
        <w:br w:type="textWrapping"/>
        <w:t xml:space="preserve">comes by faith, not faith by righteousness.</w:t>
        <w:br w:type="textWrapping"/>
        <w:t xml:space="preserve">The best explanation seems to me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betokens the righteo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dealing of God, corresponding to His</w:t>
        <w:br w:type="textWrapping"/>
        <w:t xml:space="preserve">attribute of righteousness, as opposed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respect of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the words are</w:t>
        <w:br w:type="textWrapping"/>
        <w:t xml:space="preserve">to be taken in close connexion with the</w:t>
        <w:br w:type="textWrapping"/>
        <w:t xml:space="preserve">foregoing,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used of the conditional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lement,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obtaining</w:t>
        <w:br w:type="textWrapping"/>
        <w:t xml:space="preserve">like precious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grounded: so that</w:t>
        <w:br w:type="textWrapping"/>
        <w:t xml:space="preserve">tho sense is, in His righteousness, which</w:t>
        <w:br w:type="textWrapping"/>
        <w:t xml:space="preserve">makes no difference between the one party</w:t>
        <w:br w:type="textWrapping"/>
        <w:t xml:space="preserve">and the other, God has given to you the</w:t>
        <w:br w:type="textWrapping"/>
        <w:t xml:space="preserve">like precious faith, as to us. The objection</w:t>
        <w:br w:type="textWrapping"/>
        <w:t xml:space="preserve">made to this, that thus the Epistle must</w:t>
        <w:br w:type="textWrapping"/>
        <w:t xml:space="preserve">be regarded as written to Gentile Christians, is not valid, or proves too much:</w:t>
        <w:br w:type="textWrapping"/>
        <w:t xml:space="preserve">for at all events there must be two parties</w:t>
        <w:br w:type="textWrapping"/>
        <w:t xml:space="preserve">in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 precious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whatever these parties be.</w:t>
        <w:br w:type="textWrapping"/>
        <w:t xml:space="preserve">Next, in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God and [our]</w:t>
        <w:br w:type="textWrapping"/>
        <w:t xml:space="preserve">Saviour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would interpret,</w:t>
        <w:br w:type="textWrapping"/>
        <w:t xml:space="preserve">as in Titus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[where see note]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[our] Saviour</w:t>
        <w:br w:type="textWrapping"/>
        <w:t xml:space="preserve">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Here, there is the</w:t>
        <w:br w:type="textWrapping"/>
        <w:t xml:space="preserve">additional consideration in favour of this</w:t>
        <w:br w:type="textWrapping"/>
        <w:t xml:space="preserve">view, that the Two are distinguished most</w:t>
        <w:br w:type="textWrapping"/>
        <w:t xml:space="preserve">plainly in the nest verse):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Grace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yYjHvWCRlsDUwnQiJc4YYjgEw==">CgMxLjA4AHIhMWw3Y19PakVtdVo0TENGdFJlcjdLX0FtMTIxcV95YlNW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