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kind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(viz. is stated in what follows:</w:t>
        <w:br w:type="textWrapping"/>
        <w:t xml:space="preserve">“purporting as follows”)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by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(uttered by)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the sublime glory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(the words seem to be a</w:t>
        <w:br w:type="textWrapping"/>
        <w:t xml:space="preserve">way of designating God Himself. Others</w:t>
        <w:br w:type="textWrapping"/>
        <w:t xml:space="preserve">understand them of the bright cloud which</w:t>
        <w:br w:type="textWrapping"/>
        <w:t xml:space="preserve">overshadowed the company: others of the</w:t>
        <w:br w:type="textWrapping"/>
        <w:t xml:space="preserve">heaven: but the preposition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by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in its</w:t>
        <w:br w:type="textWrapping"/>
        <w:t xml:space="preserve">only admissible meaning [see above], will</w:t>
        <w:br w:type="textWrapping"/>
        <w:t xml:space="preserve">not suit either interpretation),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This is my</w:t>
        <w:br w:type="textWrapping"/>
        <w:t xml:space="preserve">beloved Son, in whom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(literally,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on whom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)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I am well pleased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(the words are as in</w:t>
        <w:br w:type="textWrapping"/>
        <w:t xml:space="preserve">Matt. xvii. 5, where however we have 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  <w:t xml:space="preserve">whom” for “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on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whom,” and 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hear him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</w:t>
        <w:br w:type="textWrapping"/>
        <w:t xml:space="preserve">is added. In Mark and Luke the words</w:t>
        <w:br w:type="textWrapping"/>
        <w:t xml:space="preserve">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in whom I am well pleased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 are wanting: and in the critical text of St. Luke</w:t>
        <w:br w:type="textWrapping"/>
        <w:t xml:space="preserve">is, 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my chosen Son.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 It is worth notice,</w:t>
        <w:br w:type="textWrapping"/>
        <w:t xml:space="preserve">that the words are in an independent form</w:t>
        <w:br w:type="textWrapping"/>
        <w:t xml:space="preserve">here.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on whom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is what is culled a pregnant construction,—“on whom my pleasure has lighted and abides”).</w:t>
        <w:br w:type="textWrapping"/>
      </w:r>
    </w:p>
    <w:p w:rsidR="00000000" w:rsidDel="00000000" w:rsidP="00000000" w:rsidRDefault="00000000" w:rsidRPr="00000000" w14:paraId="00000002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18.]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Substantiation of the personal testimony above adduced by reference to the</w:t>
        <w:br w:type="textWrapping"/>
        <w:t xml:space="preserve">fact.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And this voice we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(Apostles: Peter,</w:t>
        <w:br w:type="textWrapping"/>
        <w:t xml:space="preserve">James, and John)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heard borne from heaven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(not, as A. V, ungrammatically, 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this voice</w:t>
        <w:br w:type="textWrapping"/>
        <w:t xml:space="preserve">which came from heaven: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we heard it</w:t>
        <w:br w:type="textWrapping"/>
        <w:t xml:space="preserve">borne, witnessed its coming, from heaven),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being with Him in the holy mount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(De</w:t>
        <w:br w:type="textWrapping"/>
        <w:t xml:space="preserve">Wette is partly right, when he says that</w:t>
        <w:br w:type="textWrapping"/>
        <w:t xml:space="preserve">this epithet “holy” shews a later view of</w:t>
        <w:br w:type="textWrapping"/>
        <w:t xml:space="preserve">the fact than that given us in the evangelistic narrative. The epithet would naturally arise when the Gospel history was</w:t>
        <w:br w:type="textWrapping"/>
        <w:t xml:space="preserve">known, as marking a place where a manifestation of this divine presence and glory</w:t>
        <w:br w:type="textWrapping"/>
        <w:t xml:space="preserve">had taken place. The place whereon Moses</w:t>
        <w:br w:type="textWrapping"/>
        <w:t xml:space="preserve">stood is said, in Exodus iii. 5, to be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holy</w:t>
        <w:br w:type="textWrapping"/>
        <w:t xml:space="preserve">ground.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So that really all we can infer</w:t>
        <w:br w:type="textWrapping"/>
        <w:t xml:space="preserve">from it is, that the history was assumed to</w:t>
        <w:br w:type="textWrapping"/>
        <w:t xml:space="preserve">be already well known: which is one entirely consistent with the probable date of</w:t>
        <w:br w:type="textWrapping"/>
        <w:t xml:space="preserve">the Epistle: see Introd. It is hardly necessary to refute Grotius’s idea, that Mount</w:t>
        <w:br w:type="textWrapping"/>
        <w:t xml:space="preserve">Sion is meant, and that the voice referred</w:t>
        <w:br w:type="textWrapping"/>
        <w:t xml:space="preserve">to is that related in John xii. 28).</w:t>
        <w:br w:type="textWrapping"/>
      </w:r>
    </w:p>
    <w:p w:rsidR="00000000" w:rsidDel="00000000" w:rsidP="00000000" w:rsidRDefault="00000000" w:rsidRPr="00000000" w14:paraId="00000003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19–21.]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The same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i. e. the certainty</w:t>
        <w:br w:type="textWrapping"/>
        <w:t xml:space="preserve">of the coming of Christ, before spoken of,—is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further confirmed by reference to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Old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Test.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prophecy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4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Rule="auto"/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19.]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 we have</w:t>
        <w:br w:type="textWrapping"/>
        <w:t xml:space="preserve">more sure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(i.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hold more surely)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propheti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word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(a double explanation is possible: 1) that the comparative alludes to</w:t>
        <w:br w:type="textWrapping"/>
        <w:t xml:space="preserve">what has gone before as its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reason,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as if</w:t>
        <w:br w:type="textWrapping"/>
        <w:t xml:space="preserve">it had been said,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Wherefore,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or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Now,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or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Henceforth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we have, &amp;c.: i.e.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‘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on account</w:t>
        <w:br w:type="textWrapping"/>
        <w:t xml:space="preserve">of this voice from heaven which we heard,</w:t>
        <w:br w:type="textWrapping"/>
        <w:t xml:space="preserve">we have firmer hol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of, or esteem [possess]</w:t>
        <w:br w:type="textWrapping"/>
        <w:t xml:space="preserve">m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re sure, the proph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word, as now having</w:t>
        <w:br w:type="textWrapping"/>
        <w:t xml:space="preserve">in our own ears begun its fulfilment.’ The</w:t>
        <w:br w:type="textWrapping"/>
        <w:t xml:space="preserve">great objection to such a view is, the omission of any such connecting particles as</w:t>
        <w:br w:type="textWrapping"/>
        <w:t xml:space="preserve">those above supplied. It is true the Apostle</w:t>
        <w:br w:type="textWrapping"/>
        <w:t xml:space="preserve">may have omitted them: b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 even supposing that, it is further against the view,</w:t>
        <w:br w:type="textWrapping"/>
        <w:t xml:space="preserve">that if such be the force of the comparative, the thought is not at all followed up</w:t>
        <w:br w:type="textWrapping"/>
        <w:t xml:space="preserve">in the ensuing verses, We come then to</w:t>
        <w:br w:type="textWrapping"/>
        <w:t xml:space="preserve">the other possible force of the comparative: 2) that it is used as comparing the</w:t>
        <w:br w:type="textWrapping"/>
        <w:t xml:space="preserve">prophetic word with something which has</w:t>
        <w:br w:type="textWrapping"/>
        <w:t xml:space="preserve">been mentioned before, as being firmer,</w:t>
        <w:br w:type="textWrapping"/>
        <w:t xml:space="preserve">more secure than that other. And if so,</w:t>
        <w:br w:type="textWrapping"/>
        <w:t xml:space="preserve">what is that other? The most obvious</w:t>
        <w:br w:type="textWrapping"/>
        <w:t xml:space="preserve">answer is, the voice from heaven: and</w:t>
        <w:br w:type="textWrapping"/>
        <w:t xml:space="preserve">this is at first sight confirmed by the consideration that one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word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would thus be</w:t>
        <w:br w:type="textWrapping"/>
        <w:t xml:space="preserve">compared with another. But then comes</w:t>
        <w:br w:type="textWrapping"/>
        <w:t xml:space="preserve">in the great difficulty. How could th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Apostle designate the written word of</w:t>
        <w:br w:type="textWrapping"/>
        <w:t xml:space="preserve">God, inspired into and transmitted thro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gh</w:t>
        <w:br w:type="textWrapping"/>
        <w:t xml:space="preserve">men, as something firmer, more secure,</w:t>
        <w:br w:type="textWrapping"/>
        <w:t xml:space="preserve">than the uttered voice of God Himsel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?</w:t>
        <w:br w:type="textWrapping"/>
        <w:t xml:space="preserve">And 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r reply must be, that only in one</w:t>
        <w:br w:type="textWrapping"/>
        <w:t xml:space="preserve">sense can this be so, viz. as being of wider</w:t>
        <w:br w:type="textWrapping"/>
        <w:t xml:space="preserve">and larger reference, embracing not only a</w:t>
        <w:br w:type="textWrapping"/>
        <w:t xml:space="preserve">single testimony to Christ as that divine</w:t>
        <w:br w:type="textWrapping"/>
        <w:t xml:space="preserve">voice did, but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sufferings which were</w:t>
        <w:br w:type="textWrapping"/>
        <w:t xml:space="preserve">destined for Christ, and the glories that</w:t>
        <w:br w:type="textWrapping"/>
        <w:t xml:space="preserve">were to follow: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as presenting a broader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asis for the Christian’s trust, and not</w:t>
        <w:br w:type="textWrapping"/>
        <w:t xml:space="preserve">only one fact, however important. This</w:t>
        <w:br w:type="textWrapping"/>
        <w:t xml:space="preserve">is a modification of 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ther’s view, which</w:t>
        <w:br w:type="textWrapping"/>
        <w:t xml:space="preserve">takes the comparison to be, that the testimony of the Transfiguration presented</w:t>
        <w:br w:type="textWrapping"/>
        <w:t xml:space="preserve">only the glory of Christ in the days of His</w:t>
        <w:br w:type="textWrapping"/>
        <w:t xml:space="preserve">flesh, whereas the prophetic word substanti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tes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is future glory also. But this is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Qt3M73HkEfwCfbJd8IBrq5I+GBw==">CgMxLjA4AHIhMUtWREpZQkl0VS1wUVdBOE1LUFlNS2FrSWdBUmhqZndW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