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HAP.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1-4.]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INTRODUCTION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THE</w:t>
        <w:br w:type="textWrapping"/>
        <w:t xml:space="preserve">PERSONAL AUTHORITY OF THE WRITER,</w:t>
        <w:br w:type="textWrapping"/>
        <w:t xml:space="preserve">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OBJECTS 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EPISTLE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.{1} —This</w:t>
        <w:br w:type="textWrapping"/>
        <w:t xml:space="preserve">Epistle does not begin with 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address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properly so called. But there is in this</w:t>
        <w:br w:type="textWrapping"/>
        <w:t xml:space="preserve">sentence the latent form of an address : the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unto 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of ver. 3, and the wish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</w:t>
        <w:br w:type="textWrapping"/>
        <w:t xml:space="preserve">our joy maybe full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answering (see note) to</w:t>
        <w:br w:type="textWrapping"/>
        <w:t xml:space="preserve">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more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usual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greeting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seem to shew that</w:t>
        <w:br w:type="textWrapping"/>
        <w:t xml:space="preserve">what follows is an Epistle, not a treatise.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construction of these verses is</w:t>
        <w:br w:type="textWrapping"/>
        <w:t xml:space="preserve">difficult, and has been variously given.</w:t>
        <w:br w:type="textWrapping"/>
        <w:t xml:space="preserve">The simplest view, and that generally</w:t>
        <w:br w:type="textWrapping"/>
        <w:t xml:space="preserve">adopted, is, that in ver. 1 a sentence is</w:t>
        <w:br w:type="textWrapping"/>
        <w:t xml:space="preserve">begun, which is broken off by the parenthetical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ver. 2 inserted to explain ver. 1,</w:t>
        <w:br w:type="textWrapping"/>
        <w:t xml:space="preserve">and carried on again in ver. 3, some</w:t>
        <w:br w:type="textWrapping"/>
        <w:t xml:space="preserve">wor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eing, for the sake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perspicuity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recited again from ver. 1. The smaller</w:t>
        <w:br w:type="textWrapping"/>
        <w:t xml:space="preserve">clauses,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., are co-ordinate with each</w:t>
        <w:br w:type="textWrapping"/>
        <w:t xml:space="preserve">other. So that the sentence and construction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flow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smoothly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regularly.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which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was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took place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from the beginning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synonymous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with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the beginning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though in the depth</w:t>
        <w:br w:type="textWrapping"/>
        <w:t xml:space="preserve">of its meaning it is virtually the same.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sets before us the prior limit, but without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meaning strictly to define it as such</w:t>
        <w:br w:type="textWrapping"/>
        <w:t xml:space="preserve">exclusively. The interpretation,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Since the</w:t>
        <w:br w:type="textWrapping"/>
        <w:t xml:space="preserve">beginning of the Gospel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is connected</w:t>
        <w:br w:type="textWrapping"/>
        <w:t xml:space="preserve">with the misunderstanding of the whole</w:t>
        <w:br w:type="textWrapping"/>
        <w:t xml:space="preserve">passage by the Socinian interpreters, and</w:t>
        <w:br w:type="textWrapping"/>
        <w:t xml:space="preserve">cannot stand for a moment when we consider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context with ver. 2, and the use</w:t>
        <w:br w:type="textWrapping"/>
        <w:t xml:space="preserve">of this term by St. Jo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when applied</w:t>
        <w:br w:type="textWrapping"/>
        <w:t xml:space="preserve">Christ or to supernatural beings: see ch. ii.</w:t>
        <w:br w:type="textWrapping"/>
        <w:t xml:space="preserve">13, 14,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ii.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8; John viii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44. Wherever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 uses it of the preaching of the</w:t>
        <w:br w:type="textWrapping"/>
        <w:t xml:space="preserve">Gospel it is definitely marked as bearing</w:t>
        <w:br w:type="textWrapping"/>
        <w:t xml:space="preserve">that meaning: compare ch. ii. 7, 24, iii. 11.</w:t>
        <w:br w:type="textWrapping"/>
        <w:t xml:space="preserve">On the meaning of this clause see below),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which we have heard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perfect</w:t>
        <w:br w:type="textWrapping"/>
        <w:t xml:space="preserve">tense extends the reference of the verb</w:t>
        <w:br w:type="textWrapping"/>
        <w:t xml:space="preserve">from the beginning, and that which the</w:t>
        <w:br w:type="textWrapping"/>
        <w:t xml:space="preserve">Apostle might have heard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concerning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Christ, e.g.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John the Baptist, down</w:t>
        <w:br w:type="textWrapping"/>
        <w:t xml:space="preserve">to the time when he was writing: regards</w:t>
        <w:br w:type="textWrapping"/>
        <w:t xml:space="preserve">his hearing as a finished and abiding possession),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which we have seen with</w:t>
        <w:br w:type="textWrapping"/>
        <w:t xml:space="preserve">our eyes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same is true again. The</w:t>
        <w:br w:type="textWrapping"/>
        <w:t xml:space="preserve">seeing as well as the hearing is a finished</w:t>
        <w:br w:type="textWrapping"/>
        <w:t xml:space="preserve">and abiding possession. The clauses rise</w:t>
        <w:br w:type="textWrapping"/>
        <w:t xml:space="preserve">in climax: seeing is more than hearing: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with our eyes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emphasizes the fact of eye-</w:t>
        <w:br w:type="textWrapping"/>
        <w:t xml:space="preserve">witness),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which we looked upon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(now, the tense is altered: because the</w:t>
        <w:br w:type="textWrapping"/>
        <w:t xml:space="preserve">Evangelist comes from speaking of the</w:t>
        <w:br w:type="textWrapping"/>
        <w:t xml:space="preserve">closed testimony which abode with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im</w:t>
        <w:br w:type="textWrapping"/>
        <w:t xml:space="preserve">asa whole, to that of the senses actually</w:t>
        <w:br w:type="textWrapping"/>
        <w:t xml:space="preserve">exercised at the time when Christ was on</w:t>
        <w:br w:type="textWrapping"/>
        <w:t xml:space="preserve">earth. Notice the climax again: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look</w:t>
        <w:br w:type="textWrapping"/>
        <w:t xml:space="preserve">upon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more than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to see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so Beza here:</w:t>
        <w:br w:type="textWrapping"/>
        <w:t xml:space="preserve">“which I saw with these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yes, and that</w:t>
        <w:br w:type="textWrapping"/>
        <w:t xml:space="preserve">not once, nor by the way, but which I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amuel Kuo" w:id="0" w:date="2023-11-15T16:10:49Z"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 1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04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7Td/oc3V/MuUzRdmx2dXv0e6aQ==">CgMxLjAaJwoBMBIiCiAIBCocCgtBQUFBX2NMSnd2cxAIGgtBQUFBX2NMSnd2cyLiAQoLQUFBQV9jTEp3dnMSsAEKC0FBQUFfY0xKd3ZzEgtBQUFBX2NMSnd2cxoSCgl0ZXh0L2h0bWwSBXRhZyAxIhMKCnRleHQvcGxhaW4SBXRhZyAxKhsiFTExMTIzMTg3ODA4MjE1MDQ3NDQwMygAOAAwo8L/nb0xOKPC/529MUoTCgp0ZXh0L3BsYWluEgV3aGljaFoMOXlkbWRxdGx5dm9ycgIgAHgAmgEGCAAQABgAqgEHEgV0YWcgMbABALgBABijwv+dvTEgo8L/nb0xMABCEGtpeC4zc3B6NGF4ZTFibzQ4AHIhMUJYdmw1cjZjUXlBV096OHctckYxOXBNaWM1dENNN1E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