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either here or below, refer to the decla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this present Epistle: it is the</w:t>
        <w:br w:type="textWrapping"/>
        <w:t xml:space="preserve">general declaration, in word and writing,</w:t>
        <w:br w:type="textWrapping"/>
        <w:t xml:space="preserve">of which 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write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below, ver. 4, is</w:t>
        <w:br w:type="textWrapping"/>
        <w:t xml:space="preserve">the special portion at present employed)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you that life which is eternal,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(“ that very before-mentioned life, </w:t>
        <w:br w:type="textWrapping"/>
        <w:t xml:space="preserve">which was with the Father”)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with the</w:t>
        <w:br w:type="textWrapping"/>
        <w:t xml:space="preserve">Father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on John i.1, ‘The preposition</w:t>
        <w:br w:type="textWrapping"/>
        <w:t xml:space="preserve">implies not juxta-position only, but relation: hardly however, as some here,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at the same time it sets forth                                          plainly the distinction of Persons), and</w:t>
        <w:br w:type="textWrapping"/>
        <w:t xml:space="preserve">was manifested to us (here the parenthesis ends, and the construction of ver. 1 is resumed. But on account of the distance</w:t>
        <w:br w:type="textWrapping"/>
        <w:t xml:space="preserve">at which that verse now stands, the</w:t>
        <w:br w:type="textWrapping"/>
        <w:t xml:space="preserve">leading particulars of its sense are recapitulated): {3}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which we have heard</w:t>
        <w:br w:type="textWrapping"/>
        <w:t xml:space="preserve">and seen we declare to you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here seems to give to the Epistle the</w:t>
        <w:br w:type="textWrapping"/>
        <w:t xml:space="preserve">character of being addressed to some special</w:t>
        <w:br w:type="textWrapping"/>
        <w:t xml:space="preserve">circle of Christian readers, beyond those</w:t>
        <w:br w:type="textWrapping"/>
        <w:t xml:space="preserve">addressed at the conclusion of the Gospel,</w:t>
        <w:br w:type="textWrapping"/>
        <w:t xml:space="preserve">ch. xx. 31, or we may take it as indicating</w:t>
        <w:br w:type="textWrapping"/>
        <w:t xml:space="preserve">“you, who did not hear, nor see, nor</w:t>
        <w:br w:type="textWrapping"/>
        <w:t xml:space="preserve">handle with your hands the Word of life.”</w:t>
        <w:br w:type="textWrapping"/>
        <w:t xml:space="preserve">But the other is more likely),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order</w:t>
        <w:br w:type="textWrapping"/>
        <w:t xml:space="preserve">that ye also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above)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may have fellowship with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Apostles and</w:t>
        <w:br w:type="textWrapping"/>
        <w:t xml:space="preserve">eye-witnesses: being hound in faith and</w:t>
        <w:br w:type="textWrapping"/>
        <w:t xml:space="preserve">love to them, as they were to Christ):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  <w:br w:type="textWrapping"/>
        <w:t xml:space="preserve">indeed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thought rises to the immeasurably</w:t>
        <w:br w:type="textWrapping"/>
        <w:t xml:space="preserve">more solemn and glorious character</w:t>
        <w:br w:type="textWrapping"/>
        <w:t xml:space="preserve">of the second fellowship as compared with the first: as if it were, “and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fellowship with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will not stop</w:t>
        <w:br w:type="textWrapping"/>
        <w:t xml:space="preserve">here? for we are but your admitters</w:t>
        <w:br w:type="textWrapping"/>
        <w:t xml:space="preserve">into another and a higher fellowship”)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our fellowship is with the Father and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(observe the repeated with, distinguishing</w:t>
        <w:br w:type="textWrapping"/>
        <w:t xml:space="preserve">the Personality, while the</w:t>
        <w:br w:type="textWrapping"/>
        <w:t xml:space="preserve">very fact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fellowship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 Both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unites the Two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Godhead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is not,</w:t>
        <w:br w:type="textWrapping"/>
        <w:t xml:space="preserve">fellowship with God and us, but with us,</w:t>
        <w:br w:type="textWrapping"/>
        <w:t xml:space="preserve">whose fellowship is with God, the Father</w:t>
        <w:br w:type="textWrapping"/>
        <w:t xml:space="preserve">and the Son)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Son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personal and the Messianic Names are</w:t>
        <w:br w:type="textWrapping"/>
        <w:t xml:space="preserve">united, as in John i, 17, where He is first</w:t>
        <w:br w:type="textWrapping"/>
        <w:t xml:space="preserve">mentioned, as here. ‘The question has been</w:t>
        <w:br w:type="textWrapping"/>
        <w:t xml:space="preserve">sometimes asked, why we have not here,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with the Holy Ghost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?” ‘The answer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which is not, as Lucke, because the               </w:t>
        <w:tab/>
        <w:tab/>
        <w:tab/>
        <w:tab/>
        <w:t xml:space="preserve">divine Personality of the Holy Ghost was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found in the apostolic mode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because, the blessed Spirit being God</w:t>
        <w:br w:type="textWrapping"/>
        <w:t xml:space="preserve">dwelling in man,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may be said</w:t>
        <w:br w:type="textWrapping"/>
        <w:t xml:space="preserve">to have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fellowship of the Holy</w:t>
        <w:br w:type="textWrapping"/>
        <w:t xml:space="preserve">Ghost,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2 Cor. xiii. 13,—we would hardly</w:t>
        <w:br w:type="textWrapping"/>
        <w:t xml:space="preserve">be said to have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fellowship with the Holy</w:t>
        <w:br w:type="textWrapping"/>
        <w:t xml:space="preserve">Ghost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{4}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this</w:t>
        <w:br w:type="textWrapping"/>
        <w:t xml:space="preserve">whole Epistle: not, the foregoing, nor, the</w:t>
        <w:br w:type="textWrapping"/>
        <w:t xml:space="preserve">immediately following)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write, that</w:t>
        <w:br w:type="textWrapping"/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(our, i.e.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  <w:br w:type="textWrapping"/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distinguished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joy may be</w:t>
        <w:br w:type="textWrapping"/>
        <w:t xml:space="preserve">fall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joy spoken of is the whole complex</w:t>
        <w:br w:type="textWrapping"/>
        <w:t xml:space="preserve">of the Christian life here and hereafter: its,</w:t>
        <w:br w:type="textWrapping"/>
        <w:t xml:space="preserve">whole sum is,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 Diisterdieck beautifully</w:t>
        <w:br w:type="textWrapping"/>
        <w:t xml:space="preserve">says, “The peace of reconciliation,</w:t>
        <w:br w:type="textWrapping"/>
        <w:t xml:space="preserve">the blessed consciousness of sonship, the</w:t>
        <w:br w:type="textWrapping"/>
        <w:t xml:space="preserve">happy growth in holiness, the bright pros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pect</w:t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future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completion and glory,—all</w:t>
        <w:br w:type="textWrapping"/>
        <w:t xml:space="preserve">these are but simple details of that ‘which</w:t>
        <w:br w:type="textWrapping"/>
        <w:t xml:space="preserve">in all its length and breadth is embraced</w:t>
        <w:br w:type="textWrapping"/>
        <w:t xml:space="preserve">by one word, Eternal Life,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real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possession of which is the immediate source of</w:t>
        <w:br w:type="textWrapping"/>
        <w:t xml:space="preserve">joy. We have joy, Christ’s joy,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blessed,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itself in Christ.” ‘It has been noticed</w:t>
        <w:br w:type="textWrapping"/>
        <w:t xml:space="preserve">before, that this verse fills the place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common in the opening of</w:t>
        <w:br w:type="textWrapping"/>
        <w:t xml:space="preserve">Epistles, and gives an epistolary character</w:t>
        <w:br w:type="textWrapping"/>
        <w:t xml:space="preserve">to what follows).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5—II. 28.]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FIRST PART OF THE EPISTLE: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message,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we would have</w:t>
        <w:br w:type="textWrapping"/>
        <w:t xml:space="preserve">fellowship with Him who is 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ht,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8gbghYxVaiqMEFWXsOnoS7qxNA==">CgMxLjA4AHIhMUQ4bk94Y01IRERfZUpDSUdYeWc4dGNjNndsMkxuU2Z1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