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the term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things in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apparently material and</w:t>
        <w:br w:type="textWrapping"/>
        <w:t xml:space="preserve">local: in the opposition which follows,</w:t>
        <w:br w:type="textWrapping"/>
        <w:t xml:space="preserve">between the love of the world and the</w:t>
        <w:br w:type="textWrapping"/>
        <w:t xml:space="preserve">love of the Father, the personal meaning</w:t>
        <w:br w:type="textWrapping"/>
        <w:t xml:space="preserve">begins to be evident: in what follows,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that is in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 at</w:t>
        <w:br w:type="textWrapping"/>
        <w:t xml:space="preserve">first sight seems material, is explained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lust of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&amp;c.” which are the</w:t>
        <w:br w:type="textWrapping"/>
        <w:t xml:space="preserve">subjective desires of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things in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not the things themselves: then,</w:t>
        <w:br w:type="textWrapping"/>
        <w:t xml:space="preserve">finally, in ver. 17, where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 and</w:t>
        <w:br w:type="textWrapping"/>
        <w:t xml:space="preserve">the lust thereof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opposed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</w:t>
        <w:br w:type="textWrapping"/>
        <w:t xml:space="preserve">doeth the will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it is plain that</w:t>
        <w:br w:type="textWrapping"/>
        <w:t xml:space="preserve">we have passed, hy the transition in the</w:t>
        <w:br w:type="textWrapping"/>
        <w:t xml:space="preserve">last verse, from the material to the personal</w:t>
        <w:br w:type="textWrapping"/>
        <w:t xml:space="preserve">sense altogether. This account may</w:t>
        <w:br w:type="textWrapping"/>
        <w:t xml:space="preserve">serve to explain that which has given so</w:t>
        <w:br w:type="textWrapping"/>
        <w:t xml:space="preserve">much trouble to Commentators here, the</w:t>
        <w:br w:type="textWrapping"/>
        <w:t xml:space="preserve">question whether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 put for the</w:t>
        <w:br w:type="textWrapping"/>
        <w:t xml:space="preserve">thing itself which is desired : the fact being</w:t>
        <w:br w:type="textWrapping"/>
        <w:t xml:space="preserve">that,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including the material</w:t>
        <w:br w:type="textWrapping"/>
        <w:t xml:space="preserve">world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men,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are in</w:t>
        <w:br w:type="textWrapping"/>
        <w:t xml:space="preserve">the men, are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well as the</w:t>
        <w:br w:type="textWrapping"/>
        <w:t xml:space="preserve">things of which they are the desires, and</w:t>
        <w:br w:type="textWrapping"/>
        <w:t xml:space="preserve">which are in their turn included in them),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merely meaning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but</w:t>
        <w:br w:type="textWrapping"/>
        <w:t xml:space="preserve">carrying with it an exclusive and disjunctive</w:t>
        <w:br w:type="textWrapping"/>
        <w:t xml:space="preserve">force, implying that what follows is not</w:t>
        <w:br w:type="textWrapping"/>
        <w:t xml:space="preserve">identical with what went before. That was</w:t>
        <w:br w:type="textWrapping"/>
        <w:t xml:space="preserve">spoken of the world itself, the totality: “have</w:t>
        <w:br w:type="textWrapping"/>
        <w:t xml:space="preserve">no love for this present world as such.”</w:t>
        <w:br w:type="textWrapping"/>
        <w:t xml:space="preserve">Butan escape from this prohibition might</w:t>
        <w:br w:type="textWrapping"/>
        <w:t xml:space="preserve">be sought by men who would deny in the</w:t>
        <w:br w:type="textWrapping"/>
        <w:t xml:space="preserve">abstract the charge of worldly-mindedness,</w:t>
        <w:br w:type="textWrapping"/>
        <w:t xml:space="preserve">but devoted themselves to some one object</w:t>
        <w:br w:type="textWrapping"/>
        <w:t xml:space="preserve">of those followed by worldly men: so that</w:t>
        <w:br w:type="textWrapping"/>
        <w:t xml:space="preserve">it is necessary to add, after “Love not the</w:t>
        <w:br w:type="textWrapping"/>
        <w:t xml:space="preserve">world,”—“no, nor any thing in it”)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</w:t>
        <w:br w:type="textWrapping"/>
        <w:t xml:space="preserve">things in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(explained above:</w:t>
        <w:br w:type="textWrapping"/>
        <w:t xml:space="preserve">here, the objects after which the ungodly</w:t>
        <w:br w:type="textWrapping"/>
        <w:t xml:space="preserve">world’s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reaches out, and on which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vain-glory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founded).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any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</w:t>
        <w:br w:type="textWrapping"/>
        <w:t xml:space="preserve">the same expression above, ver.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 the</w:t>
        <w:br w:type="textWrapping"/>
        <w:t xml:space="preserve">world, the love of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love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Father, as opposed to his love to the</w:t>
        <w:br w:type="textWrapping"/>
        <w:t xml:space="preserve">world)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not in him.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Gives a reason for the assertion</w:t>
        <w:br w:type="textWrapping"/>
        <w:t xml:space="preserve">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15: viz. the entire separation from</w:t>
        <w:br w:type="textWrapping"/>
        <w:t xml:space="preserve">one another of the world and God. In</w:t>
        <w:br w:type="textWrapping"/>
        <w:t xml:space="preserve">order to understand clearly the following,</w:t>
        <w:br w:type="textWrapping"/>
        <w:t xml:space="preserve">it is necessary to define strictly the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mentioned, and to lay down explicitly the</w:t>
        <w:br w:type="textWrapping"/>
        <w:t xml:space="preserve">apposition between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is in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three particulars which</w:t>
        <w:br w:type="textWrapping"/>
        <w:t xml:space="preserve">follow as included in that category. This</w:t>
        <w:br w:type="textWrapping"/>
        <w:t xml:space="preserve">can only be rightly done by bearing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 what was said before,—that,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world is summed up in man, both those</w:t>
        <w:br w:type="textWrapping"/>
        <w:t xml:space="preserve">objective material things which are properly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in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those</w:t>
        <w:br w:type="textWrapping"/>
        <w:t xml:space="preserve">inward subjectivities which are in man</w:t>
        <w:br w:type="textWrapping"/>
        <w:t xml:space="preserve">and grounded on his worldly state, are regarded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these</w:t>
        <w:br w:type="textWrapping"/>
        <w:t xml:space="preserve">pass into, and are almost interchanged</w:t>
        <w:br w:type="textWrapping"/>
        <w:t xml:space="preserve">with, one another. Now here, the three</w:t>
        <w:br w:type="textWrapping"/>
        <w:t xml:space="preserve">things spoken of as examples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</w:t>
        <w:br w:type="textWrapping"/>
        <w:t xml:space="preserve">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all purely subjective—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—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vain-glory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But</w:t>
        <w:br w:type="textWrapping"/>
        <w:t xml:space="preserve">they are subjectivities having their ground</w:t>
        <w:br w:type="textWrapping"/>
        <w:t xml:space="preserve">in the objectivities of the ungodly world:</w:t>
        <w:br w:type="textWrapping"/>
        <w:t xml:space="preserve">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springs out of (see below)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human nature unrenewed</w:t>
        <w:br w:type="textWrapping"/>
        <w:t xml:space="preserve">by God: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second resides in that sense</w:t>
        <w:br w:type="textWrapping"/>
        <w:t xml:space="preserve">which takes note of outward things and</w:t>
        <w:br w:type="textWrapping"/>
        <w:t xml:space="preserve">so is inflamed by them: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is that belonging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vain-glory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manner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life of worldly men among one</w:t>
        <w:br w:type="textWrapping"/>
        <w:t xml:space="preserve">another, whereby pride as to display and</w:t>
        <w:br w:type="textWrapping"/>
        <w:t xml:space="preserve">pomp is cherished. Now each one of these</w:t>
        <w:br w:type="textWrapping"/>
        <w:t xml:space="preserve">three is included in, and includes in itself,</w:t>
        <w:br w:type="textWrapping"/>
        <w:t xml:space="preserve">love to the world: and he that loves the</w:t>
        <w:br w:type="textWrapping"/>
        <w:t xml:space="preserve">world falls into, walks after, becomes part</w:t>
        <w:br w:type="textWrapping"/>
        <w:t xml:space="preserve">of, these lusts, 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vain-glory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is not of the Father but of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Loving the things of the world, he becomes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conformed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world, and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llowing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sts and pride which are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world, he himself becomes one of the</w:t>
        <w:br w:type="textWrapping"/>
        <w:t xml:space="preserve">things in the world.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every thing</w:t>
        <w:br w:type="textWrapping"/>
        <w:t xml:space="preserve">that is 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(namely, or for instance),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lust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flesh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an objective gen., so that the words</w:t>
        <w:br w:type="textWrapping"/>
        <w:t xml:space="preserve">should mean, “lust after the flesh,” i.e,</w:t>
        <w:br w:type="textWrapping"/>
        <w:t xml:space="preserve">impure desire: this they include, but far</w:t>
        <w:br w:type="textWrapping"/>
        <w:t xml:space="preserve">more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genitive is subjective, the flesh</w:t>
        <w:br w:type="textWrapping"/>
        <w:t xml:space="preserve">being that wherein the lust dwells, as in</w:t>
        <w:br w:type="textWrapping"/>
        <w:t xml:space="preserve">Gal. v. 16, Eph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3, 2 Pet.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18, Rom.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24: see also Rom. vi. 12; 1 Pet. iv. 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lust of the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(subjective genitive,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before: the lust which the eye</w:t>
        <w:br w:type="textWrapping"/>
        <w:t xml:space="preserve">begets by seeing),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vain-glory of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vain-glorious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one who lays</w:t>
        <w:br w:type="textWrapping"/>
        <w:t xml:space="preserve">claim to credit or glory which is not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xfZ7uRs7paEj1B0eI9cEu3vmjg==">CgMxLjA4AHIhMVhDQlVYUkpnT0UtMmNwdkhFUlFiejRRNkFGVVFwaTJl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