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hath the Father also.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nearly the whole of this Epistle, so</w:t>
        <w:br w:type="textWrapping"/>
        <w:t xml:space="preserve">especially such an assertion as this, formed</w:t>
        <w:br w:type="textWrapping"/>
        <w:t xml:space="preserve">a battle-field for the old rationalists.</w:t>
        <w:br w:type="textWrapping"/>
        <w:t xml:space="preserve">Some of the early Commentators and</w:t>
        <w:br w:type="textWrapping"/>
        <w:t xml:space="preserve">Fathers imagining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error was</w:t>
        <w:br w:type="textWrapping"/>
        <w:t xml:space="preserve">indicated by the denying that Jesus is</w:t>
        <w:br w:type="textWrapping"/>
        <w:t xml:space="preserve">the Christ, the idea has been again taken</w:t>
        <w:br w:type="textWrapping"/>
        <w:t xml:space="preserve">up by Semler, and others, and pressed in the</w:t>
        <w:br w:type="textWrapping"/>
        <w:t xml:space="preserve">anti-trinitarian interest. The Socinians</w:t>
        <w:br w:type="textWrapping"/>
        <w:t xml:space="preserve">and semi-Socinians all evade the Apostle’s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inadequate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far-fetched</w:t>
        <w:br w:type="textWrapping"/>
        <w:t xml:space="preserve">interpretations, understanding the expressions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verse, of not obeying</w:t>
        <w:br w:type="textWrapping"/>
        <w:t xml:space="preserve">the teaching, not following the example,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of the Son, and by consequence</w:t>
        <w:br w:type="textWrapping"/>
        <w:t xml:space="preserve">of the Father. But the deeper and truer</w:t>
        <w:br w:type="textWrapping"/>
        <w:t xml:space="preserve">meaning of the Apostle’s words has been</w:t>
        <w:br w:type="textWrapping"/>
        <w:t xml:space="preserve">recognized by all the better Commentators,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some variations from one another.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While some mark perhaps too</w:t>
        <w:br w:type="textWrapping"/>
        <w:t xml:space="preserve">precisely the doctrinal character of the</w:t>
        <w:br w:type="textWrapping"/>
        <w:t xml:space="preserve">words, others make their force consist</w:t>
        <w:br w:type="textWrapping"/>
        <w:t xml:space="preserve">too much in an ideal and economical relation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the divine Persons. Still</w:t>
        <w:br w:type="textWrapping"/>
        <w:t xml:space="preserve">all are agreed, that that which is spoken of</w:t>
        <w:br w:type="textWrapping"/>
        <w:t xml:space="preserve">is the revelation of the Father by the Son</w:t>
        <w:br w:type="textWrapping"/>
        <w:t xml:space="preserve">only, and that he who rejects this in its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lness rejects all that can be known of</w:t>
        <w:br w:type="textWrapping"/>
        <w:t xml:space="preserve">the real essence and nature of the Father</w:t>
        <w:br w:type="textWrapping"/>
        <w:t xml:space="preserve">Himself. “The antichrists denied that</w:t>
        <w:br w:type="textWrapping"/>
        <w:t xml:space="preserve">Jesus, the definite Person whom the Apostles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seen, heard, and handled, is the</w:t>
        <w:br w:type="textWrapping"/>
        <w:t xml:space="preserve">Christ. In whatever sense this denial is to</w:t>
        <w:br w:type="textWrapping"/>
        <w:t xml:space="preserve">be taken,—the Apostle speaks merely of the</w:t>
        <w:br w:type="textWrapping"/>
        <w:t xml:space="preserve">fact, as known to the readers;—at all events,</w:t>
        <w:br w:type="textWrapping"/>
        <w:t xml:space="preserve">there is involved in it a denial of the Son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it is only as the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arnate</w:t>
        <w:br w:type="textWrapping"/>
        <w:t xml:space="preserve">Son of God [ch. iv. 2], that Jesus is the</w:t>
        <w:br w:type="textWrapping"/>
        <w:t xml:space="preserve">Christ. And in the denial of the Son is</w:t>
        <w:br w:type="textWrapping"/>
        <w:t xml:space="preserve">involved necessarily the denial of the Father,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since the Father cannot be known</w:t>
        <w:br w:type="textWrapping"/>
        <w:t xml:space="preserve">without the Son, and the Father cannot be</w:t>
        <w:br w:type="textWrapping"/>
        <w:t xml:space="preserve">perceived, believed on, loved, hy any man,</w:t>
        <w:br w:type="textWrapping"/>
        <w:t xml:space="preserve">without the Son, or otherwise than through</w:t>
        <w:br w:type="textWrapping"/>
        <w:t xml:space="preserve">the Son, i.e. the Son manifested in the</w:t>
        <w:br w:type="textWrapping"/>
        <w:t xml:space="preserve">flesh, the Christ, which is, Jesus. So that</w:t>
        <w:br w:type="textWrapping"/>
        <w:t xml:space="preserve">in St. John’s development of the argument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are three essentially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points: denial of the Christ, of the Son, of</w:t>
        <w:br w:type="textWrapping"/>
        <w:t xml:space="preserve">the Father. The middle link of the chain,</w:t>
        <w:br w:type="textWrapping"/>
        <w:t xml:space="preserve">the denial of the Son of God, shews how</w:t>
        <w:br w:type="textWrapping"/>
        <w:t xml:space="preserve">the denial of the Father is of necessity involved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denial of Christ. And the</w:t>
        <w:br w:type="textWrapping"/>
        <w:t xml:space="preserve">cogency of this proof is made yet more</w:t>
        <w:br w:type="textWrapping"/>
        <w:t xml:space="preserve">stringent by another equally unavoidable</w:t>
        <w:br w:type="textWrapping"/>
        <w:t xml:space="preserve">process of argument. The antichristian</w:t>
        <w:br w:type="textWrapping"/>
        <w:t xml:space="preserve">false doctrine consists mainly in a negation,</w:t>
        <w:br w:type="textWrapping"/>
        <w:t xml:space="preserve">in the denying of the fundamental Christian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truth, that Jesus is the Christ. But</w:t>
        <w:br w:type="textWrapping"/>
        <w:t xml:space="preserve">in this is involved the denial of the essence</w:t>
        <w:br w:type="textWrapping"/>
        <w:t xml:space="preserve">of the Son as well as of the Father, and</w:t>
        <w:br w:type="textWrapping"/>
        <w:t xml:space="preserve">again in this denial is involved the losing,</w:t>
        <w:br w:type="textWrapping"/>
        <w:t xml:space="preserve">the virtual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Son and</w:t>
        <w:br w:type="textWrapping"/>
        <w:t xml:space="preserve">of the Father. In the sense of St. John,</w:t>
        <w:br w:type="textWrapping"/>
        <w:t xml:space="preserve">we may say, taking the first and last steps</w:t>
        <w:br w:type="textWrapping"/>
        <w:t xml:space="preserve">of his argument and leaving out the intervening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 denieth that Jesus</w:t>
        <w:br w:type="textWrapping"/>
        <w:t xml:space="preserve">is the Christ, hath not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this necessary connexion between denying</w:t>
        <w:br w:type="textWrapping"/>
        <w:t xml:space="preserve">and not having, is perfectly clear, the moment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understand the ethical character,</w:t>
        <w:br w:type="textWrapping"/>
        <w:t xml:space="preserve">the living realism, of St. John’s way of</w:t>
        <w:br w:type="textWrapping"/>
        <w:t xml:space="preserve">regarding the subject. As (ver. 23) we</w:t>
        <w:br w:type="textWrapping"/>
        <w:t xml:space="preserve">cannot separate the knowledge and confession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Christ, the Son, the Father, from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real possession of, the practical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fellowship with, the actual remaining in,</w:t>
        <w:br w:type="textWrapping"/>
        <w:t xml:space="preserve">the Son and the Father, so conversely, together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denial is necessarily given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not-having;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together with the loss of the</w:t>
        <w:br w:type="textWrapping"/>
        <w:t xml:space="preserve">truth of the knowledge, the loss of the life</w:t>
        <w:br w:type="textWrapping"/>
        <w:t xml:space="preserve">which consists in that knowledge (John xvii.</w:t>
        <w:br w:type="textWrapping"/>
        <w:t xml:space="preserve">3). In such a connexion,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truth is as essential on the one side,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other. Each is the</w:t>
        <w:br w:type="textWrapping"/>
        <w:t xml:space="preserve">necessary manifestation of the belief or</w:t>
        <w:br w:type="textWrapping"/>
        <w:t xml:space="preserve">unbelief hidden in the heart. And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to be understood of the</w:t>
        <w:br w:type="textWrapping"/>
        <w:t xml:space="preserve">‘confession of heart, voice, and life,’ as</w:t>
        <w:br w:type="textWrapping"/>
        <w:t xml:space="preserve">Bede calls it, but only, as ch. i. 9, of the</w:t>
        <w:br w:type="textWrapping"/>
        <w:t xml:space="preserve">confession of the mouth (Rom. x. 10, see</w:t>
        <w:br w:type="textWrapping"/>
        <w:t xml:space="preserve">John xii. 42). It is parallel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John 7, 10; and indicates</w:t>
        <w:br w:type="textWrapping"/>
        <w:t xml:space="preserve">the definite utterance of the doctrine</w:t>
        <w:br w:type="textWrapping"/>
        <w:t xml:space="preserve">which was made known by the apostolic</w:t>
        <w:br w:type="textWrapping"/>
        <w:t xml:space="preserve">preaching, ver. 24.”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24, 25.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perseverance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bH4wdOZ2crkXXS8x1v0D+WMZzg==">CgMxLjA4AHIhMV94cFg0ZVJ1aXI4cVBTRUNtYXlVOFBCOEl3V3pZMmZZ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