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Christ], ch. iii. 1, 9; iv. 7; v. 1, 4, 18, &amp;c.</w:t>
        <w:br w:type="textWrapping"/>
        <w:t xml:space="preserve">If on the other hand they are said of God,</w:t>
        <w:br w:type="textWrapping"/>
        <w:t xml:space="preserve">“it seems strange that after a change of reference </w:t>
        <w:br w:type="textWrapping"/>
        <w:t xml:space="preserve">from the preceding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another</w:t>
        <w:br w:type="textWrapping"/>
        <w:t xml:space="preserve">subject should be expressed in ch, iii. 1</w:t>
        <w:br w:type="textWrapping"/>
        <w:t xml:space="preserve">by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In consequence </w:t>
        <w:br w:type="textWrapping"/>
        <w:t xml:space="preserve">of these difficulties, some have referred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is 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Christ,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God; which cannot well be. It</w:t>
        <w:br w:type="textWrapping"/>
        <w:t xml:space="preserve">would be possible, doubtless, to understand</w:t>
        <w:br w:type="textWrapping"/>
        <w:t xml:space="preserve">the whole of Christ, without change of</w:t>
        <w:br w:type="textWrapping"/>
        <w:t xml:space="preserve">subject from ver. 28; and to leave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born of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as we find them. If it</w:t>
        <w:br w:type="textWrapping"/>
        <w:t xml:space="preserve">occurs nowhere else in reference to Christ,</w:t>
        <w:br w:type="textWrapping"/>
        <w:t xml:space="preserve">there is in it nothing abhorrent from our</w:t>
        <w:br w:type="textWrapping"/>
        <w:t xml:space="preserve">Christian ideas. And in St. John’s sense</w:t>
        <w:br w:type="textWrapping"/>
        <w:t xml:space="preserve">of the intimate union between the Father</w:t>
        <w:br w:type="textWrapping"/>
        <w:t xml:space="preserve">and Son, he who is born of the Father</w:t>
        <w:br w:type="textWrapping"/>
        <w:t xml:space="preserve">might be said to be born of the Son also.</w:t>
        <w:br w:type="textWrapping"/>
        <w:t xml:space="preserve">But after all, the other view, which is that</w:t>
        <w:br w:type="textWrapping"/>
        <w:t xml:space="preserve">of most ancient expositors, must, I apprehend, </w:t>
        <w:br w:type="textWrapping"/>
        <w:t xml:space="preserve">be adopted. The analogy of the passage,</w:t>
        <w:br w:type="textWrapping"/>
        <w:t xml:space="preserve">as shewn in ch, iii. 1, 2, 9, 10, fixes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born of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birth from</w:t>
        <w:br w:type="textWrapping"/>
        <w:t xml:space="preserve">God: and the absence in the original of a</w:t>
        <w:br w:type="textWrapping"/>
        <w:t xml:space="preserve">new expressed subject in 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must be accounted for by remembering </w:t>
        <w:br w:type="textWrapping"/>
        <w:t xml:space="preserve">that this verse, as ch, i. 5, is the</w:t>
        <w:br w:type="textWrapping"/>
        <w:t xml:space="preserve">opening, and general statement, of a new</w:t>
        <w:br w:type="textWrapping"/>
        <w:t xml:space="preserve">section of the Epistle. And the essential</w:t>
        <w:br w:type="textWrapping"/>
        <w:t xml:space="preserve">unity of the Father and the Son comes in</w:t>
        <w:br w:type="textWrapping"/>
        <w:t xml:space="preserve">on this side also: so that the judgment</w:t>
        <w:br w:type="textWrapping"/>
        <w:t xml:space="preserve">alluded to ver. 28, which shall be executed</w:t>
        <w:br w:type="textWrapping"/>
        <w:t xml:space="preserve">by the Son, being judgment committed to</w:t>
        <w:br w:type="textWrapping"/>
        <w:t xml:space="preserve">Him by the Father, brings to mind the</w:t>
        <w:br w:type="textWrapping"/>
        <w:t xml:space="preserve">justice and righteousness in which that</w:t>
        <w:br w:type="textWrapping"/>
        <w:t xml:space="preserve">judgment is founded):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ye know that also</w:t>
        <w:br w:type="textWrapping"/>
        <w:t xml:space="preserve">every one who doeth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i.e. the righteousness which is implied in the 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above: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if it were not too strong, we</w:t>
        <w:br w:type="textWrapping"/>
        <w:t xml:space="preserve">might almost say, “that righteousness :”</w:t>
        <w:br w:type="textWrapping"/>
        <w:t xml:space="preserve">the article showing that there is no other.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all righteousness is energetic: it</w:t>
        <w:br w:type="textWrapping"/>
        <w:t xml:space="preserve">springs out of holiness, truth, love),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born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(hath been begotten)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(God: see</w:t>
        <w:br w:type="textWrapping"/>
        <w:t xml:space="preserve">above: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 the righteous begetteth righteous progeny.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The inference here must</w:t>
        <w:br w:type="textWrapping"/>
        <w:t xml:space="preserve">be carefully kept to the Apostle’s words</w:t>
        <w:br w:type="textWrapping"/>
        <w:t xml:space="preserve">and obvious sense. And those require that</w:t>
        <w:br w:type="textWrapping"/>
        <w:t xml:space="preserve">we should understand it thus: God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This is our axiom, from which</w:t>
        <w:br w:type="textWrapping"/>
        <w:t xml:space="preserve">we set out, And if so, then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source 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righteousness. When therefore a man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righteousness,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apprehend, we collect, from our previous knowledge of these truths, that the source of his</w:t>
        <w:br w:type="textWrapping"/>
        <w:t xml:space="preserve">righteousness is God: that in consequence</w:t>
        <w:br w:type="textWrapping"/>
        <w:t xml:space="preserve">he has acquired by new birth from God,</w:t>
        <w:br w:type="textWrapping"/>
        <w:t xml:space="preserve">that righteousness which he had not by</w:t>
        <w:br w:type="textWrapping"/>
        <w:t xml:space="preserve">nature. We argue from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 righ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been begotten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right apprehension of this</w:t>
        <w:br w:type="textWrapping"/>
        <w:t xml:space="preserve">is the more important because the whole</w:t>
        <w:br w:type="textWrapping"/>
        <w:t xml:space="preserve">mass of Socinian and Pelagian Commentators have reversed the members of the</w:t>
        <w:br w:type="textWrapping"/>
        <w:t xml:space="preserve">argument, and made it conclude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condition, on our part,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child of God. And the Roman-Catholic expositors, while they avoid</w:t>
        <w:br w:type="textWrapping"/>
        <w:t xml:space="preserve">this error, yet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equally wrong, in understanding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hath been begotten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not as the</w:t>
        <w:br w:type="textWrapping"/>
        <w:t xml:space="preserve">statement of a past and abiding fact, but as</w:t>
        <w:br w:type="textWrapping"/>
        <w:t xml:space="preserve">the ground of a confidence as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CHAP. III.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true and distinguishing signs of the children of God</w:t>
        <w:br w:type="textWrapping"/>
        <w:t xml:space="preserve">and the children of the 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foundation and source of all righteou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 in us is, the essential righteousness of</w:t>
        <w:br w:type="textWrapping"/>
        <w:t xml:space="preserve">God. All our doing of righteousness is a</w:t>
        <w:br w:type="textWrapping"/>
        <w:t xml:space="preserve">mere sign that He has begotten us anew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we are His children. And what great</w:t>
        <w:br w:type="textWrapping"/>
        <w:t xml:space="preserve">things are contained in this name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recious treasures of faith, of hope, of love!</w:t>
        <w:br w:type="textWrapping"/>
        <w:t xml:space="preserve">On this thought the Apostle now enters.</w:t>
        <w:br w:type="textWrapping"/>
        <w:t xml:space="preserve">He places the whole glory of the children</w:t>
        <w:br w:type="textWrapping"/>
        <w:t xml:space="preserve">of God before his readers. The being</w:t>
        <w:br w:type="textWrapping"/>
        <w:t xml:space="preserve">righteous as He is righteous, is the token</w:t>
        <w:br w:type="textWrapping"/>
        <w:t xml:space="preserve">of that new birth, and the measure of the</w:t>
        <w:br w:type="textWrapping"/>
        <w:t xml:space="preserve">life which began with it: the striving to</w:t>
        <w:br w:type="textWrapping"/>
        <w:t xml:space="preserve">perfect and mature this token, to fill up</w:t>
        <w:br w:type="textWrapping"/>
        <w:t xml:space="preserve">this measure, is an additional proof that a</w:t>
        <w:br w:type="textWrapping"/>
        <w:t xml:space="preserve">man is of God.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</w:t>
        <w:br w:type="textWrapping"/>
        <w:t xml:space="preserve">John i. 29; xix. 5, does not express the</w:t>
        <w:br w:type="textWrapping"/>
        <w:t xml:space="preserve">Writer’s own astonishment, but directs the</w:t>
        <w:br w:type="textWrapping"/>
        <w:t xml:space="preserve">attention of those who are addressed. But</w:t>
        <w:br w:type="textWrapping"/>
        <w:t xml:space="preserve">there immediately follows upon us, the</w:t>
        <w:br w:type="textWrapping"/>
        <w:t xml:space="preserve">communicative address, so that in fact the</w:t>
        <w:br w:type="textWrapping"/>
        <w:t xml:space="preserve">Apostle does in a manner include himself</w:t>
        <w:br w:type="textWrapping"/>
        <w:t xml:space="preserve">among those addressed in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</w:t>
        <w:br w:type="textWrapping"/>
        <w:t xml:space="preserve">manner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(including “how great,” “how</w:t>
        <w:br w:type="textWrapping"/>
        <w:t xml:space="preserve">free,” “how precious”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fact, all the</w:t>
        <w:br w:type="textWrapping"/>
        <w:t xml:space="preserve">particulars which are afterwards brought</w:t>
        <w:br w:type="textWrapping"/>
        <w:t xml:space="preserve">out respecting this love: see ver. 16, ch.</w:t>
        <w:br w:type="textWrapping"/>
        <w:t xml:space="preserve">iv. 9, 16)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joined</w:t>
        <w:br w:type="textWrapping"/>
        <w:t xml:space="preserve">as it is with the verb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ath bestowed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+3GjVIBIip1d56zTsE0dQ/nQKQ==">CgMxLjA4AHIhMVpfQ0lxNnR1X01IOTk1aTNNU2NCMlFMbFdCS2VKQ05f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