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literally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love 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does it import</w:t>
        <w:br w:type="textWrapping"/>
        <w:t xml:space="preserve">some gift, bestowal, or fruit of love?</w:t>
        <w:br w:type="textWrapping"/>
        <w:t xml:space="preserve">There seems no necessity for diverting the</w:t>
        <w:br w:type="textWrapping"/>
        <w:t xml:space="preserve">word from its proper meaning. As in ch.</w:t>
        <w:br w:type="textWrapping"/>
        <w:t xml:space="preserve">iv. 9, the proof of the love is that which is</w:t>
        <w:br w:type="textWrapping"/>
        <w:t xml:space="preserve">imported, not by the love itself, but by the</w:t>
        <w:br w:type="textWrapping"/>
        <w:t xml:space="preserve">verb joined with it; as by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manifested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there, so by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hath bestowed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here)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(spoken here not, as some think, of</w:t>
        <w:br w:type="textWrapping"/>
        <w:t xml:space="preserve">God in general, the whole three Persons in</w:t>
        <w:br w:type="textWrapping"/>
        <w:t xml:space="preserve">the blessed Trinity, but personally, of the</w:t>
        <w:br w:type="textWrapping"/>
        <w:t xml:space="preserve">Father, as distinguished from the Son, in</w:t>
        <w:br w:type="textWrapping"/>
        <w:t xml:space="preserve">whom we have received our adoption)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hath</w:t>
        <w:br w:type="textWrapping"/>
        <w:t xml:space="preserve">given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above)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us,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(how 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 to be taken ? is it to be kept to</w:t>
        <w:br w:type="textWrapping"/>
        <w:t xml:space="preserve">its strong sense, indicating that our being</w:t>
        <w:br w:type="textWrapping"/>
        <w:t xml:space="preserve">called the children of God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purpose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  <w:br w:type="textWrapping"/>
        <w:t xml:space="preserve">that gift of love just spoken of, or does it,</w:t>
        <w:br w:type="textWrapping"/>
        <w:t xml:space="preserve">as so often in St. John, introduce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purport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that love, stated in the form of an</w:t>
        <w:br w:type="textWrapping"/>
        <w:t xml:space="preserve">end to be gained by its manifestation ?</w:t>
        <w:br w:type="textWrapping"/>
        <w:t xml:space="preserve">Lücke and others keep the strong telic</w:t>
        <w:br w:type="textWrapping"/>
        <w:t xml:space="preserve">sense. “What great love,” says Lücke,</w:t>
        <w:br w:type="textWrapping"/>
        <w:t xml:space="preserve">“hath the Father shewn us [viz, in sending His Son, ch. iv. 10],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order to make</w:t>
        <w:br w:type="textWrapping"/>
        <w:t xml:space="preserve">us children of God!” But the objection</w:t>
        <w:br w:type="textWrapping"/>
        <w:t xml:space="preserve">to this is, that thus a proof of the divine</w:t>
        <w:br w:type="textWrapping"/>
        <w:t xml:space="preserve">Love is hinted at in our verse which is not,</w:t>
        <w:br w:type="textWrapping"/>
        <w:t xml:space="preserve">expanded, but is left to be gathered from</w:t>
        <w:br w:type="textWrapping"/>
        <w:t xml:space="preserve">elsewhere : and the purpose introduced by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becomes the secondary and remote</w:t>
        <w:br w:type="textWrapping"/>
        <w:t xml:space="preserve">subject of the sentence, whereas, from the</w:t>
        <w:br w:type="textWrapping"/>
        <w:t xml:space="preserve">idea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children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taking up the preceding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idea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birth from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being</w:t>
        <w:br w:type="textWrapping"/>
        <w:t xml:space="preserve">again taken up in ver. 2, it is evidently the</w:t>
        <w:br w:type="textWrapping"/>
        <w:t xml:space="preserve">primary subject. The other meaning is</w:t>
        <w:br w:type="textWrapping"/>
        <w:t xml:space="preserve">taken by the ancient Greek expositors ;</w:t>
        <w:br w:type="textWrapping"/>
        <w:t xml:space="preserve">“wbat manner of love . . . resulting in,</w:t>
        <w:br w:type="textWrapping"/>
        <w:t xml:space="preserve">proved by, our being, &amp;c.” The effect of</w:t>
        <w:br w:type="textWrapping"/>
        <w:t xml:space="preserve">the love, that at which it is aimed in its</w:t>
        <w:br w:type="textWrapping"/>
        <w:t xml:space="preserve">immediate bestowal, is, that we should be</w:t>
        <w:br w:type="textWrapping"/>
        <w:t xml:space="preserve">called children of God: its ultimate purpose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 another thing. See vv. 11, 23,</w:t>
        <w:br w:type="textWrapping"/>
        <w:t xml:space="preserve">where we have the same construction)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should be called children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(why has</w:t>
        <w:br w:type="textWrapping"/>
        <w:t xml:space="preserve">the Apostle rather used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should be called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than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should be?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Probably to bring</w:t>
        <w:br w:type="textWrapping"/>
        <w:t xml:space="preserve">forward the title, the reality of which, notwithstanding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its non-recognition by the</w:t>
        <w:br w:type="textWrapping"/>
        <w:t xml:space="preserve">world, he is about to assert immediately).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WE ARE [so]: for this cause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doth not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(apprehend, recognize)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cause it did not know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Christ.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insertion of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we are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appears to serve the purpose of bringing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reality of the state conferred</w:t>
        <w:br w:type="textWrapping"/>
        <w:t xml:space="preserve">upon us with this title, in spite of any non-recognition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it by the unbelieving wor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d.</w:t>
        <w:br w:type="textWrapping"/>
        <w:t xml:space="preserve">This clause is of the highest possible significance.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its assertion depends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follows: and we ARE God’s</w:t>
        <w:br w:type="textWrapping"/>
        <w:t xml:space="preserve">children :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very 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we</w:t>
        <w:br w:type="textWrapping"/>
        <w:t xml:space="preserve">bear not the name only but the essence, the</w:t>
        <w:br w:type="textWrapping"/>
        <w:t xml:space="preserve">world knows us not: and then, as a reason</w:t>
        <w:br w:type="textWrapping"/>
        <w:t xml:space="preserve">for this ignorance following on this reality</w:t>
        <w:br w:type="textWrapping"/>
        <w:t xml:space="preserve">of our derivation from Him,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it</w:t>
        <w:br w:type="textWrapping"/>
        <w:t xml:space="preserve">knew Him not. The reality of a believer's</w:t>
        <w:br w:type="textWrapping"/>
        <w:t xml:space="preserve">sonship of God, and his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-recognition by</w:t>
        <w:br w:type="textWrapping"/>
        <w:t xml:space="preserve">the world,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necessarily connected</w:t>
        <w:br w:type="textWrapping"/>
        <w:t xml:space="preserve">together. But Whom did the world not</w:t>
        <w:br w:type="textWrapping"/>
        <w:t xml:space="preserve">know, and when?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by the very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requirements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logic of the passage,</w:t>
        <w:br w:type="textWrapping"/>
        <w:t xml:space="preserve">must be the Father, who not being recognized,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neither are His children ; Augustine</w:t>
        <w:br w:type="textWrapping"/>
        <w:t xml:space="preserve">and others understand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this</w:t>
        <w:br w:type="textWrapping"/>
        <w:t xml:space="preserve">can only be, if we understand that the</w:t>
        <w:br w:type="textWrapping"/>
        <w:t xml:space="preserve">world rejected that revelation of the Father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was made by Christ His Son.</w:t>
        <w:br w:type="textWrapping"/>
        <w:t xml:space="preserve">And if we introduce this element, we disturb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strictness of the argument. It is</w:t>
        <w:br w:type="textWrapping"/>
        <w:t xml:space="preserve">the world’s ignorance of God, considered</w:t>
        <w:br w:type="textWrapping"/>
        <w:t xml:space="preserve">as one great act of non-recognition, disobedience, rebellion,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which makes</w:t>
        <w:br w:type="textWrapping"/>
        <w:t xml:space="preserve">them incapable of recognizing, loving,</w:t>
        <w:br w:type="textWrapping"/>
        <w:t xml:space="preserve">sympathizing with, those who are veritably</w:t>
        <w:br w:type="textWrapping"/>
        <w:t xml:space="preserve">children of God: compare ch. v. 1).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Beloved, now are we children of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world recognizes ns not: but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sonship is real: none the less real, that we</w:t>
        <w:br w:type="textWrapping"/>
        <w:t xml:space="preserve">ourselves know not our future condition in</w:t>
        <w:br w:type="textWrapping"/>
        <w:t xml:space="preserve">all its manifestation. So that the next</w:t>
        <w:br w:type="textWrapping"/>
        <w:t xml:space="preserve">member of the sentence is introduced not</w:t>
        <w:br w:type="textWrapping"/>
        <w:t xml:space="preserve">with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with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two are not contrasted, but simply put in</w:t>
        <w:br w:type="textWrapping"/>
        <w:t xml:space="preserve">juxtaposition as components of our present</w:t>
        <w:br w:type="textWrapping"/>
        <w:t xml:space="preserve">state, We are really sons of God, even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we look [this very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suggesting a future] for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eritance in</w:t>
        <w:br w:type="textWrapping"/>
        <w:t xml:space="preserve">virtue of that sonship: it has not been yet</w:t>
        <w:br w:type="textWrapping"/>
        <w:t xml:space="preserve">manifested of what sort that inheritance</w:t>
        <w:br w:type="textWrapping"/>
        <w:t xml:space="preserve">shall be: thus much we know, &amp;e. Such</w:t>
        <w:br w:type="textWrapping"/>
        <w:t xml:space="preserve">seems to be the simple connexion, without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NRq1YvBLhGKBrIcr+8GB6Z5xmw==">AMUW2mVdDKIMDm3TUjk5GX2BSIpQ72Zer4yEwsczLJ7EKNPs0rFdPz82g8JEoONfbhOQ2STFV2HDGungRTToZ+bd/bR3SgK4Z9fVv88fPHTlA8xoOKVXggY=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