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any adversative particles expressed or understood),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it never yet was manifested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(on any occasion: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such is the force</w:t>
        <w:br w:type="textWrapping"/>
        <w:t xml:space="preserve">of the tense in the original. And the</w:t>
        <w:br w:type="textWrapping"/>
        <w:t xml:space="preserve">verb, as so often in St. John, and as in the</w:t>
        <w:br w:type="textWrapping"/>
        <w:t xml:space="preserve">next sentence, does not mean, made manifest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knowledge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anticipation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,—for</w:t>
        <w:br w:type="textWrapping"/>
        <w:t xml:space="preserve">that it is, as asserted below: but, shewn</w:t>
        <w:br w:type="textWrapping"/>
        <w:t xml:space="preserve">forth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actuality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come to its manifestation)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we shall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(understand, in</w:t>
        <w:br w:type="textWrapping"/>
        <w:t xml:space="preserve">virtue of this our state of sons of God: to</w:t>
        <w:br w:type="textWrapping"/>
        <w:t xml:space="preserve">what new development or condition this</w:t>
        <w:br w:type="textWrapping"/>
        <w:t xml:space="preserve">already existing fact will lead. But we</w:t>
        <w:br w:type="textWrapping"/>
        <w:t xml:space="preserve">must take care not to fall into Grotius’s</w:t>
        <w:br w:type="textWrapping"/>
        <w:t xml:space="preserve">error, “in what manner we are to be the</w:t>
        <w:br w:type="textWrapping"/>
        <w:t xml:space="preserve">sons of God:” for as Calovius rightly remarks,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“there are no degrees of sonship :”</w:t>
        <w:br w:type="textWrapping"/>
        <w:t xml:space="preserve">we are as truly, and in the same sense,</w:t>
        <w:br w:type="textWrapping"/>
        <w:t xml:space="preserve">children of God now, as we shall be then:</w:t>
        <w:br w:type="textWrapping"/>
        <w:t xml:space="preserve">but now [Gal. iv. 1] we are children waiting</w:t>
        <w:br w:type="textWrapping"/>
        <w:t xml:space="preserve">for an unknown inheritance—then we</w:t>
        <w:br w:type="textWrapping"/>
        <w:t xml:space="preserve">shall be children in full possession of that</w:t>
        <w:br w:type="textWrapping"/>
        <w:t xml:space="preserve">inheritance, And hence, from the reality</w:t>
        <w:br w:type="textWrapping"/>
        <w:t xml:space="preserve">and identity of that sonship, come what follows,</w:t>
        <w:br w:type="textWrapping"/>
        <w:t xml:space="preserve">—our certain knowledge, even in this</w:t>
        <w:br w:type="textWrapping"/>
        <w:t xml:space="preserve">absence of manifestation in detail, that our</w:t>
        <w:br w:type="textWrapping"/>
        <w:t xml:space="preserve">future condition will consist in likeness to</w:t>
        <w:br w:type="textWrapping"/>
        <w:t xml:space="preserve">Him).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know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 contrast, though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“but”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required to fill out our English idiom: see</w:t>
        <w:br w:type="textWrapping"/>
        <w:t xml:space="preserve">above : what we know of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we shall</w:t>
        <w:br w:type="textWrapping"/>
        <w:t xml:space="preserve">be,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this. There is not even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correction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the preceding : the connexion is simply,</w:t>
        <w:br w:type="textWrapping"/>
        <w:t xml:space="preserve">“This future condition of ours hath never</w:t>
        <w:br w:type="textWrapping"/>
        <w:t xml:space="preserve">yet appeared : thus much we know of it.””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know,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always, of certain, well-</w:t>
        <w:br w:type="textWrapping"/>
        <w:t xml:space="preserve">assured cognition) that, if it were manifested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(viz.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“what we shall be ;”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</w:t>
        <w:br w:type="textWrapping"/>
        <w:t xml:space="preserve">verb takes up again the former one. So</w:t>
        <w:br w:type="textWrapping"/>
        <w:t xml:space="preserve">most of the ancients and moderns. On the</w:t>
        <w:br w:type="textWrapping"/>
        <w:t xml:space="preserve">other hand, Bede, Calvin, Beza [and the</w:t>
        <w:br w:type="textWrapping"/>
        <w:t xml:space="preserve">A. V.: Tyndale and Cranmer had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“it”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  <w:br w:type="textWrapping"/>
        <w:t xml:space="preserve">and others, supply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“He,”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understanding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appealing to St. John’s well-known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usage which we have in ch. ii. 28,</w:t>
        <w:br w:type="textWrapping"/>
        <w:t xml:space="preserve">and below in our ver. 5. But it may be</w:t>
        <w:br w:type="textWrapping"/>
        <w:t xml:space="preserve">replied, that in the former case the subject</w:t>
        <w:br w:type="textWrapping"/>
        <w:t xml:space="preserve">was plainly suggested by the preceding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“in Him,”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latter actually</w:t>
        <w:br w:type="textWrapping"/>
        <w:t xml:space="preserve">expressed : whereas here the reference of</w:t>
        <w:br w:type="textWrapping"/>
        <w:t xml:space="preserve">the verb is no less plainly given by the preceding verb, </w:t>
        <w:br w:type="textWrapping"/>
        <w:t xml:space="preserve">here again repeated. Besides</w:t>
        <w:br w:type="textWrapping"/>
        <w:t xml:space="preserve">which,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“He,”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ver. 5, clearly shews that</w:t>
        <w:br w:type="textWrapping"/>
        <w:t xml:space="preserve">the divine subject of these verses is not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 but the Father),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shall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(taken</w:t>
        <w:br w:type="textWrapping"/>
        <w:t xml:space="preserve">up again from above, and the emphatic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corresponding exactly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below),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connecting particle must be</w:t>
        <w:br w:type="textWrapping"/>
        <w:t xml:space="preserve">kept firm to its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meaning, and all the</w:t>
        <w:br w:type="textWrapping"/>
        <w:t xml:space="preserve">difficulties of the sentence met thus, not</w:t>
        <w:br w:type="textWrapping"/>
        <w:t xml:space="preserve">by explaining it away. Nor does it express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transformation, as Lyra.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Still less must we with</w:t>
        <w:br w:type="textWrapping"/>
        <w:t xml:space="preserve">Calvin and others reverse the causal connexion,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make the seeing Him as He is</w:t>
        <w:br w:type="textWrapping"/>
        <w:t xml:space="preserve">merely a proof that we shall be like Him.</w:t>
        <w:br w:type="textWrapping"/>
        <w:t xml:space="preserve">Whatever consequences it may entail, it is</w:t>
        <w:br w:type="textWrapping"/>
        <w:t xml:space="preserve">certain that the proposition introduced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contains the real essential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</w:t>
        <w:br w:type="textWrapping"/>
        <w:t xml:space="preserve">and ground of that which it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  <w:br w:type="textWrapping"/>
        <w:t xml:space="preserve">shall see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 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He 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St. John, the recognition and knowledge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 is ever no mere cognition, but</w:t>
        <w:br w:type="textWrapping"/>
        <w:t xml:space="preserve">the measure of the spiritual life: he who</w:t>
        <w:br w:type="textWrapping"/>
        <w:t xml:space="preserve">has it, possesses God, has the Father and</w:t>
        <w:br w:type="textWrapping"/>
        <w:t xml:space="preserve">the Son: becomes more and more like God,</w:t>
        <w:br w:type="textWrapping"/>
        <w:t xml:space="preserve">having His seed in him. So that the full</w:t>
        <w:br w:type="textWrapping"/>
        <w:t xml:space="preserve">and perfect accomplishment of this knowledge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fr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of God Himself</w:t>
        <w:br w:type="textWrapping"/>
        <w:t xml:space="preserve">must of necessity bring with it entire likeness to God.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this is the part of the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 lot of the sons of God which is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ertain.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Because we shall see Him as He is,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taken for granted as a Christian</w:t>
        <w:br w:type="textWrapping"/>
        <w:t xml:space="preserve">axiom,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of necessity follows that we</w:t>
        <w:br w:type="textWrapping"/>
        <w:t xml:space="preserve">shall be entirely like Him: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ethically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like</w:t>
        <w:br w:type="textWrapping"/>
        <w:t xml:space="preserve">Him: we shall behold, as Ecumenins says,</w:t>
        <w:br w:type="textWrapping"/>
        <w:t xml:space="preserve">“the just, the just One—the pure, the pure</w:t>
        <w:br w:type="textWrapping"/>
        <w:t xml:space="preserve">One.” The difficulty, that no man can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God, is not in reality contained here, any</w:t>
        <w:br w:type="textWrapping"/>
        <w:t xml:space="preserve">more than it is in our Lord’s “ Blessed are</w:t>
        <w:br w:type="textWrapping"/>
        <w:t xml:space="preserve">the pure in heart, for they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God.”</w:t>
        <w:br w:type="textWrapping"/>
        <w:t xml:space="preserve">The word, however understood, has for its</w:t>
        <w:br w:type="textWrapping"/>
        <w:t xml:space="preserve">limit, that no created eye even in the glorified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body can behold the Creator: that</w:t>
        <w:br w:type="textWrapping"/>
        <w:t xml:space="preserve">beyond its keenest search there will be</w:t>
        <w:br w:type="textWrapping"/>
        <w:t xml:space="preserve">glory and perfection baffling and dazzling</w:t>
        <w:br w:type="textWrapping"/>
        <w:t xml:space="preserve">it: but this incapacity does not prevent</w:t>
        <w:br w:type="textWrapping"/>
        <w:t xml:space="preserve">the vision, as far as it can reach, being clear</w:t>
        <w:br w:type="textWrapping"/>
        <w:t xml:space="preserve">and unclo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ded: being, to the utmost extent</w:t>
        <w:br w:type="textWrapping"/>
        <w:t xml:space="preserve">of which our glorified nature is capable,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He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true and not a false vision of God.</w:t>
        <w:br w:type="textWrapping"/>
        <w:t xml:space="preserve">And if it be again objected that we seem to</w:t>
        <w:br w:type="textWrapping"/>
        <w:t xml:space="preserve">be 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confounding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ethical sight of</w:t>
        <w:br w:type="textWrapping"/>
        <w:t xml:space="preserve">God which is the measure of our likeness</w:t>
        <w:br w:type="textWrapping"/>
        <w:t xml:space="preserve">to God, with corporeal sight of Him in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mpU5KMJfM4/O/AzZ9qt+q5dRqQ==">AMUW2mW+eDMOpKka76V23UORTYZFXu6T2b7r9/PsY1Acj1kwi2eBDElFQTXXshHss80Uk+PvUDLSVBDMVhQOhfDbx35tUUuRpvtTDZbyu8p3RPUoDJkB9VA=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