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menius, “in the fact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 loving</w:t>
        <w:br w:type="textWrapping"/>
        <w:t xml:space="preserve">not with word, but in deed and in truth: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who one thing and does</w:t>
        <w:br w:type="textWrapping"/>
        <w:t xml:space="preserve">another,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in his deed being consonant</w:t>
        <w:br w:type="textWrapping"/>
        <w:t xml:space="preserve">to his profession, is a liar and not true.”</w:t>
        <w:br w:type="textWrapping"/>
        <w:t xml:space="preserve">But, true as this is, and self-evident, it</w:t>
        <w:br w:type="textWrapping"/>
        <w:t xml:space="preserve">does not reach the depth of the meaning</w:t>
        <w:br w:type="textWrapping"/>
        <w:t xml:space="preserve">of, have our source from. To be 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a different matter from to be</w:t>
        <w:br w:type="textWrapping"/>
        <w:t xml:space="preserve">truthful or true men, Esti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approaches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meaning, understanding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be the truth of God in His promises, and</w:t>
        <w:br w:type="textWrapping"/>
        <w:t xml:space="preserve">so are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mean “are of the</w:t>
        <w:br w:type="textWrapping"/>
        <w:t xml:space="preserve">number of the elect.” Bede’s interpretation,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</w:t>
        <w:br w:type="textWrapping"/>
        <w:t xml:space="preserve">which Calvin and others agree, is nearer</w:t>
        <w:br w:type="textWrapping"/>
        <w:t xml:space="preserve">still: but had the Apostle intended this,</w:t>
        <w:br w:type="textWrapping"/>
        <w:t xml:space="preserve">he surely would have written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“of God.”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Lutheran commentators have come</w:t>
        <w:br w:type="textWrapping"/>
        <w:t xml:space="preserve">nearer still, making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word of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which we are begotten</w:t>
        <w:br w:type="textWrapping"/>
        <w:t xml:space="preserve">anew unto God. But why stop at that</w:t>
        <w:br w:type="textWrapping"/>
        <w:t xml:space="preserve">which after all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itself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truth? why</w:t>
        <w:br w:type="textWrapping"/>
        <w:t xml:space="preserve">not mount up to the Truth itself, that</w:t>
        <w:br w:type="textWrapping"/>
        <w:t xml:space="preserve">pure and objective Truth which is the</w:t>
        <w:br w:type="textWrapping"/>
        <w:t xml:space="preserve">common substratum and essential quality</w:t>
        <w:br w:type="textWrapping"/>
        <w:t xml:space="preserve">of the Spirit Himself, of the Word, of</w:t>
        <w:br w:type="textWrapping"/>
        <w:t xml:space="preserve">those who are born of the Word by the</w:t>
        <w:br w:type="textWrapping"/>
        <w:t xml:space="preserve">Spirit ?),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shall persuade our hearts</w:t>
        <w:br w:type="textWrapping"/>
        <w:t xml:space="preserve">before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and in and by this same</w:t>
        <w:br w:type="textWrapping"/>
        <w:t xml:space="preserve">sign, shall still the questionings of our</w:t>
        <w:br w:type="textWrapping"/>
        <w:t xml:space="preserve">hearts before God, by the assurance that</w:t>
        <w:br w:type="textWrapping"/>
        <w:t xml:space="preserve">we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true children. St. John uses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innermost seat of our</w:t>
        <w:br w:type="textWrapping"/>
        <w:t xml:space="preserve">feelings and passions: of alarm [John xiv.</w:t>
        <w:br w:type="textWrapping"/>
        <w:t xml:space="preserve">1, 27], of mourning [xvi. 6], of joy [xvi.</w:t>
        <w:br w:type="textWrapping"/>
        <w:t xml:space="preserve">22]. It was into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Judas that</w:t>
        <w:br w:type="textWrapping"/>
        <w:t xml:space="preserve">the devil put the intent of betraying the</w:t>
        <w:br w:type="textWrapping"/>
        <w:t xml:space="preserve">Lord 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xiii.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is the</w:t>
        <w:br w:type="textWrapping"/>
        <w:t xml:space="preserve">inward judge of the man,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whose office is,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to say, promoted by the conscience,</w:t>
        <w:br w:type="textWrapping"/>
        <w:t xml:space="preserve">accusing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else excusing [Rom. ii, 15].</w:t>
        <w:br w:type="textWrapping"/>
        <w:t xml:space="preserve">Then, as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persuade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there is no</w:t>
        <w:br w:type="textWrapping"/>
        <w:t xml:space="preserve">need to give to the verb any unusual</w:t>
        <w:br w:type="textWrapping"/>
        <w:t xml:space="preserve">meaning. It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not mean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quiet” or</w:t>
        <w:br w:type="textWrapping"/>
        <w:t xml:space="preserve">“assure,” except in so far as its ordinary</w:t>
        <w:br w:type="textWrapping"/>
        <w:t xml:space="preserve">import, “persuade,” takes this tinge from</w:t>
        <w:br w:type="textWrapping"/>
        <w:t xml:space="preserve">the context.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It must be plain from what has been</w:t>
        <w:br w:type="textWrapping"/>
        <w:t xml:space="preserve">said, that the future,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persuade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</w:t>
        <w:br w:type="textWrapping"/>
        <w:t xml:space="preserve">not, on account of the words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to be taken as referring to the</w:t>
        <w:br w:type="textWrapping"/>
        <w:t xml:space="preserve">future day of judgment, as some have</w:t>
        <w:br w:type="textWrapping"/>
        <w:t xml:space="preserve">done. In ch. iv, 17, which is in some</w:t>
        <w:br w:type="textWrapping"/>
        <w:t xml:space="preserve">respe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 parallel with this, that day is</w:t>
        <w:br w:type="textWrapping"/>
        <w:t xml:space="preserve">expressly named: whereas in our passage,</w:t>
        <w:br w:type="textWrapping"/>
        <w:t xml:space="preserve">an equally clear indication is given, by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parallelism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two future verbs,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“sha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</w:t>
        <w:br w:type="textWrapping"/>
        <w:t xml:space="preserve">know”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“sha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 persuade,”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</w:t>
        <w:br w:type="textWrapping"/>
        <w:t xml:space="preserve">such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intended.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not, at His appearing, but,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  <w:br w:type="textWrapping"/>
        <w:t xml:space="preserve">sight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placed before His all-seeing eye.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takes up this matter of the persuading </w:t>
        <w:br w:type="textWrapping"/>
        <w:t xml:space="preserve">our hearts before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shews</w:t>
        <w:br w:type="textWrapping"/>
        <w:t xml:space="preserve">its true importance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rationale. This is</w:t>
        <w:br w:type="textWrapping"/>
        <w:t xml:space="preserve">carried on in the following verses, but is</w:t>
        <w:br w:type="textWrapping"/>
        <w:t xml:space="preserve">here and in ver, 21 placed as its ground.</w:t>
        <w:br w:type="textWrapping"/>
        <w:t xml:space="preserve">If our heart,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efore 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judges 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unfavourably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—we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favourably still: if our</w:t>
        <w:br w:type="textWrapping"/>
        <w:t xml:space="preserve">heart condemn us not, again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judging and seeing in the light of His</w:t>
        <w:br w:type="textWrapping"/>
        <w:t xml:space="preserve">countenance, then we know that we are</w:t>
        <w:br w:type="textWrapping"/>
        <w:t xml:space="preserve">at one with Him, and those consequences</w:t>
        <w:br w:type="textWrapping"/>
        <w:t xml:space="preserve">follow, which are set forth in ver. 22.</w:t>
        <w:br w:type="textWrapping"/>
        <w:t xml:space="preserve">The many difficulties which occur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rendering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verse cannot be presented</w:t>
        <w:br w:type="textWrapping"/>
        <w:t xml:space="preserve">to the mere English reader. They will be</w:t>
        <w:br w:type="textWrapping"/>
        <w:t xml:space="preserve">found discussed in my Greek Test. The</w:t>
        <w:br w:type="textWrapping"/>
        <w:t xml:space="preserve">context appears to stand thus. The Apostle</w:t>
        <w:br w:type="textWrapping"/>
        <w:t xml:space="preserve">in ver. 19 has said that by the presence of</w:t>
        <w:br w:type="textWrapping"/>
        <w:t xml:space="preserve">genuine love we shall know that we are of</w:t>
        <w:br w:type="textWrapping"/>
        <w:t xml:space="preserve">the truth, and shall persuade our hearts in</w:t>
        <w:br w:type="textWrapping"/>
        <w:t xml:space="preserve">God’s presence. He then proceeds to enlarge </w:t>
        <w:br w:type="textWrapping"/>
        <w:t xml:space="preserve">on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persuading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hearts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If our heart condemn us, what</w:t>
        <w:br w:type="textWrapping"/>
        <w:t xml:space="preserve">does it import? If our heart acquit us,</w:t>
        <w:br w:type="textWrapping"/>
        <w:t xml:space="preserve">what?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condemnation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acquittal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are plainly and necessarily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opposed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both</w:t>
        <w:br w:type="textWrapping"/>
        <w:t xml:space="preserve">in hypothesis and in result. If the consolatory </w:t>
        <w:br w:type="textWrapping"/>
        <w:t xml:space="preserve">view of ver. 20 is taken,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</w:t>
        <w:br w:type="textWrapping"/>
        <w:t xml:space="preserve">softening 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self-condemnation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</w:t>
        <w:br w:type="textWrapping"/>
        <w:t xml:space="preserve">comforting thought of God’s greatness and</w:t>
        <w:br w:type="textWrapping"/>
        <w:t xml:space="preserve">infinite 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y,—then the general result of</w:t>
        <w:br w:type="textWrapping"/>
        <w:t xml:space="preserve">vv. 20, 21 will be, whether our heart condemn </w:t>
        <w:br w:type="textWrapping"/>
        <w:t xml:space="preserve">us or not, we have comfort and assurance: </w:t>
        <w:br w:type="textWrapping"/>
        <w:t xml:space="preserve">and then what would be the</w:t>
        <w:br w:type="textWrapping"/>
        <w:t xml:space="preserve">import of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persuading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hearts at</w:t>
        <w:br w:type="textWrapping"/>
        <w:t xml:space="preserve">all? But on the other interpretation, the</w:t>
        <w:br w:type="textWrapping"/>
        <w:t xml:space="preserve">condemnatory sense of ver. 20—as intensifying </w:t>
        <w:br w:type="textWrapping"/>
        <w:t xml:space="preserve">our self-condemnation by the thought</w:t>
        <w:br w:type="textWrapping"/>
        <w:t xml:space="preserve">that the cause of it is God, knowing more</w:t>
        <w:br w:type="textWrapping"/>
        <w:t xml:space="preserve">of our sin than we do—then, taken with</w:t>
        <w:br w:type="textWrapping"/>
        <w:t xml:space="preserve">some modifications, all will be clear, I say,</w:t>
        <w:br w:type="textWrapping"/>
        <w:t xml:space="preserve">taken with some modifications : because the</w:t>
        <w:br w:type="textWrapping"/>
        <w:t xml:space="preserve">sense has been much obscured by the mistake </w:t>
        <w:br w:type="textWrapping"/>
        <w:t xml:space="preserve">of introducing the particular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</w:t>
        <w:br w:type="textWrapping"/>
        <w:t xml:space="preserve">treated in ver. 18 into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statements </w:t>
        <w:br w:type="textWrapping"/>
        <w:t xml:space="preserve">of vv. 20, 21. It is not, If our</w:t>
        <w:br w:type="textWrapping"/>
        <w:t xml:space="preserve">heart condemn 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want of brotherly</w:t>
        <w:br w:type="textWrapping"/>
        <w:t xml:space="preserve">love: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this test is dropped, and the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wZhwJOGTE3Hknn/tTp+xDDdnEA==">AMUW2mVIFwBFg9uF0MrCJWc55MDCX88jyAOlZZZurOh81VG/1Emtb8vcBpr9MIbxWF3qVWHlpqu5NgEfAHrGWcdusHRLke3WfBV+EaIxB/bn5AQ5GJPcWKI=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