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general subject of the testimony of our</w:t>
        <w:br w:type="textWrapping"/>
        <w:t xml:space="preserve">hearts is entered upon. Thus we get the</w:t>
        <w:br w:type="textWrapping"/>
        <w:t xml:space="preserve">context and rendering, as follows):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(as if it were said, and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persuading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 hearts before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for us a</w:t>
        <w:br w:type="textWrapping"/>
        <w:t xml:space="preserve">vital matter, seeing that condemnation and</w:t>
        <w:br w:type="textWrapping"/>
        <w:t xml:space="preserve">acquittal by our own hearts bring each</w:t>
        <w:br w:type="textWrapping"/>
        <w:t xml:space="preserve">such a weighty conclusion with it)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our</w:t>
        <w:br w:type="textWrapping"/>
        <w:t xml:space="preserve">heart condemn us, it is because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(our self</w:t>
        <w:br w:type="textWrapping"/>
        <w:t xml:space="preserve">condemnation is founded on the fact, that)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God is greater than our heart, and knoweth</w:t>
        <w:br w:type="textWrapping"/>
        <w:t xml:space="preserve">all things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the condemning testimony</w:t>
        <w:br w:type="textWrapping"/>
        <w:t xml:space="preserve">of our conscience is not alone, but is a</w:t>
        <w:br w:type="textWrapping"/>
        <w:t xml:space="preserve">token of One sitting above our conscience</w:t>
        <w:br w:type="textWrapping"/>
        <w:t xml:space="preserve">and greater than our conscience: because</w:t>
        <w:br w:type="textWrapping"/>
        <w:t xml:space="preserve">our conscience is but the faint echo of His</w:t>
        <w:br w:type="textWrapping"/>
        <w:t xml:space="preserve">voice who knoweth all things: if it condemn us, </w:t>
        <w:br w:type="textWrapping"/>
        <w:t xml:space="preserve">how much more He? and therefore </w:t>
        <w:br w:type="textWrapping"/>
        <w:t xml:space="preserve">this persuading, for which this verse</w:t>
        <w:br w:type="textWrapping"/>
        <w:t xml:space="preserve">renders a reason, becomes a thing of inestimable </w:t>
        <w:br w:type="textWrapping"/>
        <w:t xml:space="preserve">import, and one which we cannot </w:t>
        <w:br w:type="textWrapping"/>
        <w:t xml:space="preserve">neglect, seeing that the absence of it</w:t>
        <w:br w:type="textWrapping"/>
        <w:t xml:space="preserve">is an index to our standing condemned of</w:t>
        <w:br w:type="textWrapping"/>
        <w:t xml:space="preserve">God. And then, having given the reason</w:t>
        <w:br w:type="textWrapping"/>
        <w:t xml:space="preserve">why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condemnation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should be set at</w:t>
        <w:br w:type="textWrapping"/>
        <w:t xml:space="preserve">rest by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persuasion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he goes on to give</w:t>
        <w:br w:type="textWrapping"/>
        <w:t xml:space="preserve">the blessed results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persuasion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itself</w:t>
        <w:br w:type="textWrapping"/>
        <w:t xml:space="preserve">in vv. 21, 22).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Beloved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(there is no</w:t>
        <w:br w:type="textWrapping"/>
        <w:t xml:space="preserve">adversative particle, because this address</w:t>
        <w:br w:type="textWrapping"/>
        <w:t xml:space="preserve">throws up the contrast quite strongly</w:t>
        <w:br w:type="textWrapping"/>
        <w:t xml:space="preserve">enough, as introducing the very matter</w:t>
        <w:br w:type="textWrapping"/>
        <w:t xml:space="preserve">on which the context lays the emphasis,</w:t>
        <w:br w:type="textWrapping"/>
        <w:t xml:space="preserve">viz.,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persuading our hearts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our</w:t>
        <w:br w:type="textWrapping"/>
        <w:t xml:space="preserve">heart condemn us not, we have confidence</w:t>
        <w:br w:type="textWrapping"/>
        <w:t xml:space="preserve">towards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(said generally; not with</w:t>
        <w:br w:type="textWrapping"/>
        <w:t xml:space="preserve">direct reference to that which follows ver.</w:t>
        <w:br w:type="textWrapping"/>
        <w:t xml:space="preserve">22, which indeed is one form of this confidence: </w:t>
        <w:br w:type="textWrapping"/>
        <w:t xml:space="preserve">see ch. v.14, where the connexion</w:t>
        <w:br w:type="textWrapping"/>
        <w:t xml:space="preserve">is similar. The confidence here spoken of</w:t>
        <w:br w:type="textWrapping"/>
        <w:t xml:space="preserve">is of course present, not future in the day</w:t>
        <w:br w:type="textWrapping"/>
        <w:t xml:space="preserve">of judgment.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towards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i.e., with</w:t>
        <w:br w:type="textWrapping"/>
        <w:t xml:space="preserve">reference to God: but more than that: to</w:t>
        <w:br w:type="textWrapping"/>
        <w:t xml:space="preserve">God-ward, in our aspect as turned towards</w:t>
        <w:br w:type="textWrapping"/>
        <w:t xml:space="preserve">and looking to God.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It must be remembered that the words are said in the</w:t>
        <w:br w:type="textWrapping"/>
        <w:t xml:space="preserve">full light of the reality of the Christian</w:t>
        <w:br w:type="textWrapping"/>
        <w:t xml:space="preserve">state,—where the heart is awakened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enlightened, and the testimony of the Spirit</w:t>
        <w:br w:type="textWrapping"/>
        <w:t xml:space="preserve">is active: where the heart’s own deceit docs</w:t>
        <w:br w:type="textWrapping"/>
        <w:t xml:space="preserve">not come into consideration as a disturb-</w:t>
        <w:br w:type="textWrapping"/>
        <w:t xml:space="preserve">ing clement), 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(such another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“and”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that in verse 10 above, where,</w:t>
        <w:br w:type="textWrapping"/>
        <w:t xml:space="preserve">after the general statement,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“and”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introduced </w:t>
        <w:br w:type="textWrapping"/>
        <w:t xml:space="preserve">the particular instance in which the</w:t>
        <w:br w:type="textWrapping"/>
        <w:t xml:space="preserve">general truth was carried forward. So</w:t>
        <w:br w:type="textWrapping"/>
        <w:t xml:space="preserve">here: By dwelling and walking in love,</w:t>
        <w:br w:type="textWrapping"/>
        <w:t xml:space="preserve">we can alone gain that approval of our</w:t>
        <w:br w:type="textWrapping"/>
        <w:t xml:space="preserve">conscience as God’s children, which brings</w:t>
        <w:br w:type="textWrapping"/>
        <w:t xml:space="preserve">real confidence in Him and real intercommunion </w:t>
        <w:br w:type="textWrapping"/>
        <w:t xml:space="preserve">in prayer, which is a result and</w:t>
        <w:br w:type="textWrapping"/>
        <w:t xml:space="preserve">proof of that confidence)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whatsoever wo</w:t>
        <w:br w:type="textWrapping"/>
        <w:t xml:space="preserve">ask, we receive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(present: not put for</w:t>
        <w:br w:type="textWrapping"/>
        <w:t xml:space="preserve">future, as Grotius thinks. The Apostle is</w:t>
        <w:br w:type="textWrapping"/>
        <w:t xml:space="preserve">setting forth actual matter of fact)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</w:t>
        <w:br w:type="textWrapping"/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(these words must be taken in all</w:t>
        <w:br w:type="textWrapping"/>
        <w:t xml:space="preserve">their simplicity, without capricious and</w:t>
        <w:br w:type="textWrapping"/>
        <w:t xml:space="preserve">arbitrary limitations. Like all the sayings </w:t>
        <w:br w:type="textWrapping"/>
        <w:t xml:space="preserve">of St. John, they proceed on the</w:t>
        <w:br w:type="textWrapping"/>
        <w:t xml:space="preserve">ideal truth of the Christian state. “The</w:t>
        <w:br w:type="textWrapping"/>
        <w:t xml:space="preserve">child of God,” as Huther says, “asks for</w:t>
        <w:br w:type="textWrapping"/>
        <w:t xml:space="preserve">nothing which is against the will of its</w:t>
        <w:br w:type="textWrapping"/>
        <w:t xml:space="preserve">Father”),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(ground of the above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receiving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 keep His commandments,</w:t>
        <w:br w:type="textWrapping"/>
        <w:t xml:space="preserve">and do the things which are pleasing in</w:t>
        <w:br w:type="textWrapping"/>
        <w:t xml:space="preserve">His sight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the last expression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  <w:t xml:space="preserve">parallelism] see Exod. xv. 26; also Deut.</w:t>
        <w:br w:type="textWrapping"/>
        <w:t xml:space="preserve">vi. 18, xii. 25, Ezra x. 11, Isa. xxxviii. 3.</w:t>
        <w:br w:type="textWrapping"/>
        <w:t xml:space="preserve">It is added, not as explanatory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keeping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commandments,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to connect with</w:t>
        <w:br w:type="textWrapping"/>
        <w:t xml:space="preserve">His granting our prayers, since our lives</w:t>
        <w:br w:type="textWrapping"/>
        <w:t xml:space="preserve">are in accord with His good pleasure.</w:t>
        <w:br w:type="textWrapping"/>
        <w:t xml:space="preserve">This however brings us to the theological</w:t>
        <w:br w:type="textWrapping"/>
        <w:t xml:space="preserve">difficulty of our verse, wherein it would</w:t>
        <w:br w:type="textWrapping"/>
        <w:t xml:space="preserve">seem at first sight as if the granting of</w:t>
        <w:br w:type="textWrapping"/>
        <w:t xml:space="preserve">our prayers by God depended, as its meritorious </w:t>
        <w:br w:type="textWrapping"/>
        <w:t xml:space="preserve">efficient, on our keeping of His</w:t>
        <w:br w:type="textWrapping"/>
        <w:t xml:space="preserve">commandments and doing that which</w:t>
        <w:br w:type="textWrapping"/>
        <w:t xml:space="preserve">pleases Him. And so some of the Roman-</w:t>
        <w:br w:type="textWrapping"/>
        <w:t xml:space="preserve">Catholic expositors here. But both here</w:t>
        <w:br w:type="textWrapping"/>
        <w:t xml:space="preserve">and elsewhere the solution of the difficulty</w:t>
        <w:br w:type="textWrapping"/>
        <w:t xml:space="preserve">is very easy, if separated from the party</w:t>
        <w:br w:type="textWrapping"/>
        <w:t xml:space="preserve">words of theology, and viewed in the light</w:t>
        <w:br w:type="textWrapping"/>
        <w:t xml:space="preserve">of Scripture itself. Out of Christ, there</w:t>
        <w:br w:type="textWrapping"/>
        <w:t xml:space="preserve">are no good works at all: entrance into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uZOPKqSG1MkactBBiCg15xlc9Q==">AMUW2mVy02ComH12cGtW5LeDV+jIRQkTci3tmMLHmJi5PKiRAA2MBoA9dWCDI+rFF5YEKBqwKmz3szkx7tnxSjnY07ZqVg6Fbkr8sdSlDcJErZHpmHdpJpM=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