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Christ is not won nor merited by them.</w:t>
        <w:br w:type="textWrapping"/>
        <w:t xml:space="preserve">In Christ, every work done of faith is</w:t>
        <w:br w:type="textWrapping"/>
        <w:t xml:space="preserve">good and is pleasing to God. The doing</w:t>
        <w:br w:type="textWrapping"/>
        <w:t xml:space="preserve">of such works is the working of the life</w:t>
        <w:br w:type="textWrapping"/>
        <w:t xml:space="preserve">of Christ in us: they are its sign, they its</w:t>
        <w:br w:type="textWrapping"/>
        <w:t xml:space="preserve">fruits: they are not of us, but of it and of</w:t>
        <w:br w:type="textWrapping"/>
        <w:t xml:space="preserve">Him. They are the measure of our Chistian life: </w:t>
        <w:br w:type="textWrapping"/>
        <w:t xml:space="preserve">according to their abundance, so</w:t>
        <w:br w:type="textWrapping"/>
        <w:t xml:space="preserve">is our access to God, so is our reward from</w:t>
        <w:br w:type="textWrapping"/>
        <w:t xml:space="preserve">God: for they are the steps of our likeness</w:t>
        <w:br w:type="textWrapping"/>
        <w:t xml:space="preserve">to God, Whatever is attributed to them</w:t>
        <w:br w:type="textWrapping"/>
        <w:t xml:space="preserve">as an efficient cause, is attributed not to</w:t>
        <w:br w:type="textWrapping"/>
        <w:t xml:space="preserve">us, but to Him whose fruits they are,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Christ is thus manifested in us,</w:t>
        <w:br w:type="textWrapping"/>
        <w:t xml:space="preserve">God hears our prayers, which He only</w:t>
        <w:br w:type="textWrapping"/>
        <w:t xml:space="preserve">hears for Christ’s sake: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because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His Spirit</w:t>
        <w:br w:type="textWrapping"/>
        <w:t xml:space="preserve">works thus abundantly in us, He listens to</w:t>
        <w:br w:type="textWrapping"/>
        <w:t xml:space="preserve">our prayer, which in that measure has become </w:t>
        <w:br w:type="textWrapping"/>
        <w:t xml:space="preserve">the voice of His Spirit. So that no</w:t>
        <w:br w:type="textWrapping"/>
        <w:t xml:space="preserve">degree of efficacy attributed to the good</w:t>
        <w:br w:type="textWrapping"/>
        <w:t xml:space="preserve">works of the child of God need surprise</w:t>
        <w:br w:type="textWrapping"/>
        <w:t xml:space="preserve">us: it is God recognizing, God vindicating,</w:t>
        <w:br w:type="textWrapping"/>
        <w:t xml:space="preserve">God multiplying, God glorifying, His own</w:t>
        <w:br w:type="textWrapping"/>
        <w:t xml:space="preserve">work in us. So that when, e-g., Cornelius-</w:t>
        <w:br w:type="textWrapping"/>
        <w:t xml:space="preserve">a-lapide says, “It is congruous, and the</w:t>
        <w:br w:type="textWrapping"/>
        <w:t xml:space="preserve">congruous reward of obedience and reconciliation </w:t>
        <w:br w:type="textWrapping"/>
        <w:t xml:space="preserve">(friendship), that if man does the</w:t>
        <w:br w:type="textWrapping"/>
        <w:t xml:space="preserve">will of God, God in His turn should do the</w:t>
        <w:br w:type="textWrapping"/>
        <w:t xml:space="preserve">will of man,” all we can reply is that such</w:t>
        <w:br w:type="textWrapping"/>
        <w:t xml:space="preserve">a duality, such a reciprocity, docs not exist</w:t>
        <w:br w:type="textWrapping"/>
        <w:t xml:space="preserve">for Christians: we are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 God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He in us:</w:t>
        <w:br w:type="textWrapping"/>
        <w:t xml:space="preserve">and this St. John continually insists on.</w:t>
        <w:br w:type="textWrapping"/>
        <w:t xml:space="preserve">We have no claim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from without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He</w:t>
        <w:br w:type="textWrapping"/>
        <w:t xml:space="preserve">works in us to do of His good pleasure:</w:t>
        <w:br w:type="textWrapping"/>
        <w:t xml:space="preserve">and the works which He works, which we</w:t>
        <w:br w:type="textWrapping"/>
        <w:t xml:space="preserve">work, manifest before Him, and before all,</w:t>
        <w:br w:type="textWrapping"/>
        <w:t xml:space="preserve">that we are His children. The assertion,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“whatsoever we ask, we receive,”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 reserve</w:t>
        <w:br w:type="textWrapping"/>
        <w:t xml:space="preserve">to be treated of on ch. v. 14, 15, where it</w:t>
        <w:br w:type="textWrapping"/>
        <w:t xml:space="preserve">is set forth more in detail).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23.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Summing up of all these commandments </w:t>
        <w:br w:type="textWrapping"/>
        <w:t xml:space="preserve">in one: faith in Christ, and brotherly </w:t>
        <w:br w:type="textWrapping"/>
        <w:t xml:space="preserve">love according to Christ’s command.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(see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“and”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similarly used, ch. i. 5,</w:t>
        <w:br w:type="textWrapping"/>
        <w:t xml:space="preserve">ii, 17, iii, 3)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His commandment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(“he</w:t>
        <w:br w:type="textWrapping"/>
        <w:t xml:space="preserve">mentions,” says Bede, “ but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commandment, </w:t>
        <w:br w:type="textWrapping"/>
        <w:t xml:space="preserve">and then subjoins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two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faith</w:t>
        <w:br w:type="textWrapping"/>
        <w:t xml:space="preserve">and love, as being inseparable the one from</w:t>
        <w:br w:type="textWrapping"/>
        <w:t xml:space="preserve">the other. For we cannot love one another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ightly without the faith of Christ, nor</w:t>
        <w:br w:type="textWrapping"/>
        <w:t xml:space="preserve">can we truly believe in the name of Jesus</w:t>
        <w:br w:type="textWrapping"/>
        <w:t xml:space="preserve">Christ without love”)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is this, That we</w:t>
        <w:br w:type="textWrapping"/>
        <w:t xml:space="preserve">should believe the name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(this unusual</w:t>
        <w:br w:type="textWrapping"/>
        <w:t xml:space="preserve">expression is well explained by Calvin and</w:t>
        <w:br w:type="textWrapping"/>
        <w:t xml:space="preserve">Beza,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word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“name”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has reference</w:t>
        <w:br w:type="textWrapping"/>
        <w:t xml:space="preserve">to the preaching of Him; so that to</w:t>
        <w:br w:type="textWrapping"/>
        <w:t xml:space="preserve">believe His Name is, to believe the Gospel</w:t>
        <w:br w:type="textWrapping"/>
        <w:t xml:space="preserve">message concerning Him, and Him as living</w:t>
        <w:br w:type="textWrapping"/>
        <w:t xml:space="preserve">in it, in all His fulness)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of His Son Jesus</w:t>
        <w:br w:type="textWrapping"/>
        <w:t xml:space="preserve">Christ, and love one another, even as</w:t>
        <w:br w:type="textWrapping"/>
        <w:t xml:space="preserve">He gave us commandment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(it 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ms</w:t>
        <w:br w:type="textWrapping"/>
        <w:t xml:space="preserve">natural, with the generality of Commentators, </w:t>
        <w:br w:type="textWrapping"/>
        <w:t xml:space="preserve">to understand Christ as intended</w:t>
        <w:br w:type="textWrapping"/>
        <w:t xml:space="preserve">by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by the commandment, John</w:t>
        <w:br w:type="textWrapping"/>
        <w:t xml:space="preserve">xiii. 34, xv. 12, xvi. 17).</w:t>
        <w:br w:type="textWrapping"/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24a.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General return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reference</w:t>
        <w:br w:type="textWrapping"/>
        <w:t xml:space="preserve">to what has been said in the last verses,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the great key-note of the Epistle,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abide in Him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with which the former</w:t>
        <w:br w:type="textWrapping"/>
        <w:t xml:space="preserve">part of it concluded, ch. ii. 28. This keeping </w:t>
        <w:br w:type="textWrapping"/>
        <w:t xml:space="preserve">of His (God’s) commandments is 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abiding in God: this of which brotherly</w:t>
        <w:br w:type="textWrapping"/>
        <w:t xml:space="preserve">love is the first and most illustrious example</w:t>
        <w:br w:type="textWrapping"/>
        <w:t xml:space="preserve">and summary. So that the exhortation</w:t>
        <w:br w:type="textWrapping"/>
        <w:t xml:space="preserve">given at the beginning of this portion of</w:t>
        <w:br w:type="textWrapping"/>
        <w:t xml:space="preserve">the Epistle is still in the Apostle’s mind,</w:t>
        <w:br w:type="textWrapping"/>
        <w:t xml:space="preserve">as again ch. iv. 15, 16, and v. 20; see</w:t>
        <w:br w:type="textWrapping"/>
        <w:t xml:space="preserve">also ch. ii. 6, iii, 6, 9.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 that</w:t>
        <w:br w:type="textWrapping"/>
        <w:t xml:space="preserve">keepeth His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(God’s)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commandments,</w:t>
        <w:br w:type="textWrapping"/>
        <w:t xml:space="preserve">abideth in 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(God)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and 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(God)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in</w:t>
        <w:br w:type="textWrapping"/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(some hold that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and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Him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are to</w:t>
        <w:br w:type="textWrapping"/>
        <w:t xml:space="preserve">be referred to Christ. And no doubt they</w:t>
        <w:br w:type="textWrapping"/>
        <w:t xml:space="preserve">would be perfectly true, and according to</w:t>
        <w:br w:type="textWrapping"/>
        <w:t xml:space="preserve">our Lord’s own words, when thus applied :</w:t>
        <w:br w:type="textWrapping"/>
        <w:t xml:space="preserve">see John xiv. 15, xv. 5 ff. Still, from the</w:t>
        <w:br w:type="textWrapping"/>
        <w:t xml:space="preserve">context [see below], it is better to refer</w:t>
        <w:br w:type="textWrapping"/>
        <w:t xml:space="preserve">them to the chief subject, viz. to God.</w:t>
        <w:br w:type="textWrapping"/>
        <w:t xml:space="preserve">In the sense, the difference is not important. </w:t>
        <w:br w:type="textWrapping"/>
        <w:t xml:space="preserve">It is one of the most difficult</w:t>
        <w:br w:type="textWrapping"/>
        <w:t xml:space="preserve">questions in the explanation of this most</w:t>
        <w:br w:type="textWrapping"/>
        <w:t xml:space="preserve">difficult of Epistles, to assign such expressions </w:t>
        <w:br w:type="textWrapping"/>
        <w:t xml:space="preserve">as the present definitely to their precise personal object).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24 b.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of</w:t>
        <w:br w:type="textWrapping"/>
        <w:t xml:space="preserve">one part of this mutual indwelling there 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 sign and token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given us by God Himself,</w:t>
        <w:br w:type="textWrapping"/>
        <w:t xml:space="preserve">viz.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Holy Spirit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By the mention of the</w:t>
        <w:br w:type="textWrapping"/>
        <w:t xml:space="preserve">Spirit, the Apostle makes these words the</w:t>
        <w:br w:type="textWrapping"/>
        <w:t xml:space="preserve">note of transition to the subject of the neat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CHj6LUG8R/tMyHI/yHzPI/dBWTQ==">AMUW2mXnEdUBltvGYYE0MTaMsO7/2nAN7+DbFuuzS2Xd4X4/tK6yAAPIi6YvQRXW4g/qKLITNTLLQ4PqyGu5O65SbPTSCCpRw4cLE9QeJSp/6RnhFB80Bmw=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