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being of God, of what relevance is it,</w:t>
        <w:br w:type="textWrapping"/>
        <w:t xml:space="preserve">to say that he that loveth not never knew</w:t>
        <w:br w:type="textWrapping"/>
        <w:t xml:space="preserve">God, because “God is love?” Put for</w:t>
        <w:br w:type="textWrapping"/>
        <w:t xml:space="preserve">these last words, “God is loving,” and we</w:t>
        <w:br w:type="textWrapping"/>
        <w:t xml:space="preserve">get at once a fallacy: He that loveth not</w:t>
        <w:br w:type="textWrapping"/>
        <w:t xml:space="preserve">never knew what love is: God is loving:</w:t>
        <w:br w:type="textWrapping"/>
        <w:t xml:space="preserve">but what would follow? that in as far as</w:t>
        <w:br w:type="textWrapping"/>
        <w:t xml:space="preserve">God is loving, he never knew Him: but</w:t>
        <w:br w:type="textWrapping"/>
        <w:t xml:space="preserve">he may have known Him in as far as He</w:t>
        <w:br w:type="textWrapping"/>
        <w:t xml:space="preserve">is just, or powerful. But take the proposition,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is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God’s essential</w:t>
        <w:br w:type="textWrapping"/>
        <w:t xml:space="preserve">being,—as a strict definition of God, and</w:t>
        <w:br w:type="textWrapping"/>
        <w:t xml:space="preserve">the argumentation will be strict: He that</w:t>
        <w:br w:type="textWrapping"/>
        <w:t xml:space="preserve">loveth not never knew love: God is love</w:t>
        <w:br w:type="textWrapping"/>
        <w:t xml:space="preserve">[the terms are co-essential and co-extensive]: </w:t>
        <w:br w:type="textWrapping"/>
        <w:t xml:space="preserve">therefore he who loveth uot never</w:t>
        <w:br w:type="textWrapping"/>
        <w:t xml:space="preserve">knew God).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Proof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far as we are</w:t>
        <w:br w:type="textWrapping"/>
        <w:t xml:space="preserve">concerned, in God’s sending His Son to</w:t>
        <w:br w:type="textWrapping"/>
        <w:t xml:space="preserve">save us.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which follows)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love of God was manifested in regard to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regard 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must be</w:t>
        <w:br w:type="textWrapping"/>
        <w:t xml:space="preserve">taken with the verb, not with the love of</w:t>
        <w:br w:type="textWrapping"/>
        <w:t xml:space="preserve">God. Many have thus wrongly connected</w:t>
        <w:br w:type="textWrapping"/>
        <w:t xml:space="preserve">it, and in consequence have been compelled</w:t>
        <w:br w:type="textWrapping"/>
        <w:t xml:space="preserve">to distort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regard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“towards:”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so Luther, &amp;c., and the A.V.</w:t>
        <w:br w:type="textWrapping"/>
        <w:t xml:space="preserve">Connected then with the verb, it must</w:t>
        <w:br w:type="textWrapping"/>
        <w:t xml:space="preserve">not be taken as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“towards,”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as “in,” i.e. “in the matter of,” in</w:t>
        <w:br w:type="textWrapping"/>
        <w:t xml:space="preserve">regard of: see ver. 16 below: the manifestation </w:t>
        <w:br w:type="textWrapping"/>
        <w:t xml:space="preserve">not being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its spectators, </w:t>
        <w:br w:type="textWrapping"/>
        <w:t xml:space="preserve">but in our persons and cases, as its</w:t>
        <w:br w:type="textWrapping"/>
        <w:t xml:space="preserve">“material.”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believers in general),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God hath 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(perfect tense. The</w:t>
        <w:br w:type="textWrapping"/>
        <w:t xml:space="preserve">manifestation is regarded as one act, done</w:t>
        <w:br w:type="textWrapping"/>
        <w:t xml:space="preserve">implicitly when God sent His Son: but</w:t>
        <w:br w:type="textWrapping"/>
        <w:t xml:space="preserve">the sending is regarded in its present</w:t>
        <w:br w:type="textWrapping"/>
        <w:t xml:space="preserve">abiding effects, which have changed all</w:t>
        <w:br w:type="textWrapping"/>
        <w:t xml:space="preserve">things since it took place)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only begotten </w:t>
        <w:br w:type="textWrapping"/>
        <w:t xml:space="preserve">Son into the world, that we might</w:t>
        <w:br w:type="textWrapping"/>
        <w:t xml:space="preserve">live through Hcm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 words can be plainer</w:t>
        <w:br w:type="textWrapping"/>
        <w:t xml:space="preserve">than these, and need less explanation to</w:t>
        <w:br w:type="textWrapping"/>
        <w:t xml:space="preserve">any one acquainted with St. John. The</w:t>
        <w:br w:type="textWrapping"/>
        <w:t xml:space="preserve">endeavours of the old rationalists, Socinus,</w:t>
        <w:br w:type="textWrapping"/>
        <w:t xml:space="preserve">Grotius, &amp;e., to escape from the assertion</w:t>
        <w:br w:type="textWrapping"/>
        <w:t xml:space="preserve">of Christ’s pre-existence, by substituting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world, “to the world,”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 begotten,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“dearly beloved,”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may</w:t>
        <w:br w:type="textWrapping"/>
        <w:t xml:space="preserve">be seen in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sterdieck. He well remarks,</w:t>
        <w:br w:type="textWrapping"/>
        <w:t xml:space="preserve">“Such expositors may naturally be expected </w:t>
        <w:br w:type="textWrapping"/>
        <w:t xml:space="preserve">to give an answer to the ‘question,</w:t>
        <w:br w:type="textWrapping"/>
        <w:t xml:space="preserve">how a Christ so understood could be our</w:t>
        <w:br w:type="textWrapping"/>
        <w:t xml:space="preserve">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9], our atonement [ver. 10], or</w:t>
        <w:br w:type="textWrapping"/>
        <w:t xml:space="preserve">our salvation [ver. 14].”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emphatic words in the sentence are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only-</w:t>
        <w:br w:type="textWrapping"/>
        <w:t xml:space="preserve">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 the proof,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son of God was sent, that we</w:t>
        <w:br w:type="textWrapping"/>
        <w:t xml:space="preserve">might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proof</w:t>
        <w:br w:type="textWrapping"/>
        <w:t xml:space="preserve">particularized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highest and noblest</w:t>
        <w:br w:type="textWrapping"/>
        <w:t xml:space="preserve">point, the atonement: and at the same</w:t>
        <w:br w:type="textWrapping"/>
        <w:t xml:space="preserve">time this brought ont, that the love manifested </w:t>
        <w:br w:type="textWrapping"/>
        <w:t xml:space="preserve">by it was all on God’s side, none on</w:t>
        <w:br w:type="textWrapping"/>
        <w:t xml:space="preserve">ours: was love to us when we were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mies, </w:t>
        <w:br w:type="textWrapping"/>
        <w:t xml:space="preserve">Rom.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8, and therefore all the</w:t>
        <w:br w:type="textWrapping"/>
        <w:t xml:space="preserve">greater. Ch. iii. 16 is very similar: except </w:t>
        <w:br w:type="textWrapping"/>
        <w:t xml:space="preserve">that there it is Christ’s personal love</w:t>
        <w:br w:type="textWrapping"/>
        <w:t xml:space="preserve">tous: here the Father’s, in sending His</w:t>
        <w:br w:type="textWrapping"/>
        <w:t xml:space="preserve">Son.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is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ase,” “in</w:t>
        <w:br w:type="textWrapping"/>
        <w:t xml:space="preserve">this matter,” “herein,”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‘exists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Love; in the abstract. ‘This interpretation </w:t>
        <w:br w:type="textWrapping"/>
        <w:t xml:space="preserve">is necessary, on account of</w:t>
        <w:br w:type="textWrapping"/>
        <w:t xml:space="preserve">the disjunction which follows. If the word</w:t>
        <w:br w:type="textWrapping"/>
        <w:t xml:space="preserve">lov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meant, the love of God just spoken of,</w:t>
        <w:br w:type="textWrapping"/>
        <w:t xml:space="preserve">then it would be irrelevant to subjoin that</w:t>
        <w:br w:type="textWrapping"/>
        <w:t xml:space="preserve">this love was not our love to Him but His</w:t>
        <w:br w:type="textWrapping"/>
        <w:t xml:space="preserve">to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that we loved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</w:t>
        <w:br w:type="textWrapping"/>
        <w:t xml:space="preserve">refers to an indefinite time 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act of</w:t>
        <w:br w:type="textWrapping"/>
        <w:t xml:space="preserve">Jove of ours to God at any time done furnishes </w:t>
        <w:br w:type="textWrapping"/>
        <w:t xml:space="preserve">this example of love, but an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</w:t>
        <w:br w:type="textWrapping"/>
        <w:t xml:space="preserve">His towards us, It 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our love to God, as contrasted with His to</w:t>
        <w:br w:type="textWrapping"/>
        <w:t xml:space="preserve">us, of which the clause treats, but the non-</w:t>
        <w:br w:type="textWrapping"/>
        <w:t xml:space="preserve">existence of the one love as set against the</w:t>
        <w:br w:type="textWrapping"/>
        <w:t xml:space="preserve">historical manifestation of the other. Again</w:t>
        <w:br w:type="textWrapping"/>
        <w:t xml:space="preserve">that “ He loved us, though we did not love</w:t>
        <w:br w:type="textWrapping"/>
        <w:t xml:space="preserve">Him,” is so far in the words as it is given</w:t>
        <w:br w:type="textWrapping"/>
        <w:t xml:space="preserve">by the context [see above], but is not the</w:t>
        <w:br w:type="textWrapping"/>
        <w:t xml:space="preserve">meaning of the words themselves),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(referring again to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Love, which is now specified), and</w:t>
        <w:br w:type="textWrapping"/>
        <w:t xml:space="preserve">(prove this love in that 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ii.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ibid.)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death being therein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HcrzUNT0qhTpmDMDkBFYbTKHHQ==">AMUW2mVuMrnKHUe48e4owOxo1Fp1P5lxDMVLDzSXDPrBCQqFHmCpw7gbERblmJmm2FerVeMNRofhDXPM7aOqLkR0bdccv4UzhnDDdPAAG8+Z/DZTTA4lNk0=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