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struggle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hard one):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 victory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conquered the</w:t>
        <w:br w:type="textWrapping"/>
        <w:t xml:space="preserve">world is this, our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identification</w:t>
        <w:br w:type="textWrapping"/>
        <w:t xml:space="preserve">of the victory with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which</w:t>
        <w:br w:type="textWrapping"/>
        <w:t xml:space="preserve">it, is a concise and emphatic way of linking</w:t>
        <w:br w:type="textWrapping"/>
        <w:t xml:space="preserve">the two inseparably together, so that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erever there is faith there is victory.</w:t>
        <w:br w:type="textWrapping"/>
        <w:t xml:space="preserve">And this is further expressed by the past</w:t>
        <w:br w:type="textWrapping"/>
        <w:t xml:space="preserve">tense here; by which it is signified that</w:t>
        <w:br w:type="textWrapping"/>
        <w:t xml:space="preserve">the victory is already won: see ch. ii. 13,</w:t>
        <w:br w:type="textWrapping"/>
        <w:t xml:space="preserve">iv. 4).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it be asked, How does</w:t>
        <w:br w:type="textWrapping"/>
        <w:t xml:space="preserve">our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overcome the world? this verse</w:t>
        <w:br w:type="textWrapping"/>
        <w:t xml:space="preserve">furnishes the answer; because it brings</w:t>
        <w:br w:type="textWrapping"/>
        <w:t xml:space="preserve">us into union with Jesus Christ the Son</w:t>
        <w:br w:type="textWrapping"/>
        <w:t xml:space="preserve">of God, making us as He is, and partakers</w:t>
        <w:br w:type="textWrapping"/>
        <w:t xml:space="preserve">of His victory, John xvi. 33, Through</w:t>
        <w:br w:type="textWrapping"/>
        <w:t xml:space="preserve">this belief we are born again as sons of</w:t>
        <w:br w:type="textWrapping"/>
        <w:t xml:space="preserve">God; we have Him in us, One greater</w:t>
        <w:br w:type="textWrapping"/>
        <w:t xml:space="preserve">than he who is in the world, ch. iv. 4.</w:t>
        <w:br w:type="textWrapping"/>
        <w:t xml:space="preserve">And this conclusion is put in the form</w:t>
        <w:br w:type="textWrapping"/>
        <w:t xml:space="preserve">of a triumphant question: What other</w:t>
        <w:br w:type="textWrapping"/>
        <w:t xml:space="preserve">person can do it? Who that believes</w:t>
        <w:br w:type="textWrapping"/>
        <w:t xml:space="preserve">this, can fail to do it?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he that</w:t>
        <w:br w:type="textWrapping"/>
        <w:t xml:space="preserve">conquereth the world, except he that believeth </w:t>
        <w:br w:type="textWrapping"/>
        <w:t xml:space="preserve">that Jesus is the Son of God?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comparing ver. 1 a, we find 1)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Christ”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answers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here; 2) that by the combination,</w:t>
        <w:br w:type="textWrapping"/>
        <w:t xml:space="preserve">of the two verses, we get the proposition</w:t>
        <w:br w:type="textWrapping"/>
        <w:t xml:space="preserve">of ver. 4a.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THIRD AND LAST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DIVISION OF THE EPISTLE.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portion falls</w:t>
        <w:br w:type="textWrapping"/>
        <w:t xml:space="preserve">naturally into two parts: vv.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21: the former of which treats of</w:t>
        <w:br w:type="textWrapping"/>
        <w:t xml:space="preserve">the concluding part of the argument, and</w:t>
        <w:br w:type="textWrapping"/>
        <w:t xml:space="preserve">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 forms the close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Epistle.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in the former portions, our</w:t>
        <w:br w:type="textWrapping"/>
        <w:t xml:space="preserve">communion with God who is light [i. 5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treated, and our birth in righteousness</w:t>
        <w:br w:type="textWrapping"/>
        <w:t xml:space="preserve">from God who is righteous [ii. 29 ff.], by</w:t>
        <w:br w:type="textWrapping"/>
        <w:t xml:space="preserve">faith in Jesus the Son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now we</w:t>
        <w:br w:type="textWrapping"/>
        <w:t xml:space="preserve">have another most important element of</w:t>
        <w:br w:type="textWrapping"/>
        <w:t xml:space="preserve">the Christian life set before us: the testimony </w:t>
        <w:br w:type="textWrapping"/>
        <w:t xml:space="preserve">to it arising from that life itself: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witness of the spiritual life to its own</w:t>
        <w:br w:type="textWrapping"/>
        <w:t xml:space="preserve">reality.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witness rests not on apostolic </w:t>
        <w:br w:type="textWrapping"/>
        <w:t xml:space="preserve">testimony alone, but on the Holy</w:t>
        <w:br w:type="textWrapping"/>
        <w:t xml:space="preserve">Spirit, which the believer has in himself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10], and which is God’s testimony</w:t>
        <w:br w:type="textWrapping"/>
        <w:t xml:space="preserve">respecting His Son [vv. 9, 10], and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we have eternal life [ver. 13].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hardly a passage in the New</w:t>
        <w:br w:type="textWrapping"/>
        <w:t xml:space="preserve">Test. which has given rise to more variety</w:t>
        <w:br w:type="textWrapping"/>
        <w:t xml:space="preserve">of interpretation: certainly none which [on</w:t>
        <w:br w:type="textWrapping"/>
        <w:t xml:space="preserve">account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apparent importance of the</w:t>
        <w:br w:type="textWrapping"/>
        <w:t xml:space="preserve">words interpolated after ver. 7] has been</w:t>
        <w:br w:type="textWrapping"/>
        <w:t xml:space="preserve">the field of so much critical controversy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Complete accounts of both the exposit</w:t>
        <w:br w:type="textWrapping"/>
        <w:t xml:space="preserve">and the criticism will be found in the recent </w:t>
        <w:br w:type="textWrapping"/>
        <w:t xml:space="preserve">monographs on the Epistle: more</w:t>
        <w:br w:type="textWrapping"/>
        <w:t xml:space="preserve">especially in that of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Person spoken of in the</w:t>
        <w:br w:type="textWrapping"/>
        <w:t xml:space="preserve">last verse; Jesus. This, which is maintained </w:t>
        <w:br w:type="textWrapping"/>
        <w:t xml:space="preserve">by most Commentators, is denied</w:t>
        <w:br w:type="textWrapping"/>
        <w:t xml:space="preserve">by Knapp and Huther, who refer this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Son of God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Son of God is</w:t>
        <w:br w:type="textWrapping"/>
        <w:t xml:space="preserve">he,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making the proposition assert,</w:t>
        <w:br w:type="textWrapping"/>
        <w:t xml:space="preserve">the identity of the Son of God with the</w:t>
        <w:br w:type="textWrapping"/>
        <w:t xml:space="preserve">historical Jesus, not the converse. ‘This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supports on two grounds: 1) that</w:t>
        <w:br w:type="textWrapping"/>
        <w:t xml:space="preserve">the fact that Jesus came by water and</w:t>
        <w:br w:type="textWrapping"/>
        <w:t xml:space="preserve">blood needed no proof even to Heretics:</w:t>
        <w:br w:type="textWrapping"/>
        <w:t xml:space="preserve">2) that on the ordinary interpretation the</w:t>
        <w:br w:type="textWrapping"/>
        <w:t xml:space="preserve">following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“Jesus Christ,”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become</w:t>
        <w:br w:type="textWrapping"/>
        <w:t xml:space="preserve">altogether superfluous. But to these it is</w:t>
        <w:br w:type="textWrapping"/>
        <w:t xml:space="preserve">easily replied, 1) that although the fact</w:t>
        <w:br w:type="textWrapping"/>
        <w:t xml:space="preserve">might be confessed, that was not confessed</w:t>
        <w:br w:type="textWrapping"/>
        <w:t xml:space="preserve">to which the fact bore testimony, viz. that</w:t>
        <w:br w:type="textWrapping"/>
        <w:t xml:space="preserve">Jesus who came in the flesh was the Son</w:t>
        <w:br w:type="textWrapping"/>
        <w:t xml:space="preserve">of God: 2) that the appositional clause,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Christ,”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by no means superfluous,</w:t>
        <w:br w:type="textWrapping"/>
        <w:t xml:space="preserve">being only a solemn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ssertion of our</w:t>
        <w:br w:type="textWrapping"/>
        <w:t xml:space="preserve">Lord’s Person and Office as testified by these</w:t>
        <w:br w:type="textWrapping"/>
        <w:t xml:space="preserve">signs. The main objection to Huther’s</w:t>
        <w:br w:type="textWrapping"/>
        <w:t xml:space="preserve">view is, that, as well stated by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</w:t>
        <w:br w:type="textWrapping"/>
        <w:t xml:space="preserve">it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kes the coming by water and blood,</w:t>
        <w:br w:type="textWrapping"/>
        <w:t xml:space="preserve">which, by the context, is evidently in the</w:t>
        <w:br w:type="textWrapping"/>
        <w:t xml:space="preserve">Apostle’s argument, a substantiating consideration, </w:t>
        <w:br w:type="textWrapping"/>
        <w:t xml:space="preserve">to be merely an exceptional</w:t>
        <w:br w:type="textWrapping"/>
        <w:t xml:space="preserve">one: “this Son of God is Jesus the Christ,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came by water and blood.”</w:t>
        <w:br w:type="textWrapping"/>
        <w:t xml:space="preserve">Therefore the other interpretation must</w:t>
        <w:br w:type="textWrapping"/>
        <w:t xml:space="preserve">stand fast)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he that came by water and</w:t>
        <w:br w:type="textWrapping"/>
        <w:t xml:space="preserve">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not to the Lord’s birth</w:t>
        <w:br w:type="textWrapping"/>
        <w:t xml:space="preserve">in the flesh, but to His open manifestation</w:t>
        <w:br w:type="textWrapping"/>
        <w:t xml:space="preserve">of himself before the world. See above, on</w:t>
        <w:br w:type="textWrapping"/>
        <w:t xml:space="preserve">ch. iv. 2.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preposition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passes into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next sentence, is thereby</w:t>
        <w:br w:type="textWrapping"/>
        <w:t xml:space="preserve">explained to bear its very usual sense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said of that</w:t>
        <w:br w:type="textWrapping"/>
        <w:t xml:space="preserve">which accompanies, as the medium through</w:t>
        <w:br w:type="textWrapping"/>
        <w:t xml:space="preserve">which, or the element in which. ‘The very</w:t>
        <w:br w:type="textWrapping"/>
        <w:t xml:space="preserve">same phrases,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blo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KSqSR0wBNcLnDYS0IIadiv5yQw==">AMUW2mWpwvFiBkiBJZk7Uyi5eDvz3bcS0cA1t7ayje07b3JI7RAJlwLviLbOHiEHClPW5pfl3sEFUxV2D3Xa3T012Lgk5AAVmO1/wgMTZUGSbgvLsUabL6c=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