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Lord's baptism, of itself, was indeed</w:t>
        <w:br w:type="textWrapping"/>
        <w:t xml:space="preserve">rather a result than a proof of His Messiahship: </w:t>
        <w:br w:type="textWrapping"/>
        <w:t xml:space="preserve">but in it, taking St. John’s account </w:t>
        <w:br w:type="textWrapping"/>
        <w:t xml:space="preserve">only, a testimony to His divine</w:t>
        <w:br w:type="textWrapping"/>
        <w:t xml:space="preserve">Sonship was given, by which the Baptist</w:t>
        <w:br w:type="textWrapping"/>
        <w:t xml:space="preserve">knew Him to be the Son of God: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</w:t>
        <w:br w:type="textWrapping"/>
        <w:t xml:space="preserve">seen, and have borne witness, that this is</w:t>
        <w:br w:type="textWrapping"/>
        <w:t xml:space="preserve">the Son 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his words, John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34; and when that blood was poured from</w:t>
        <w:br w:type="textWrapping"/>
        <w:t xml:space="preserve">His “riven side,” he that saw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uses the same formula,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that hath</w:t>
        <w:br w:type="textWrapping"/>
        <w:t xml:space="preserve">seen it hath borne witness.”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cannot</w:t>
        <w:br w:type="textWrapping"/>
        <w:t xml:space="preserve">be that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thus referred </w:t>
        <w:br w:type="textWrapping"/>
        <w:t xml:space="preserve">to two definite points of our Lord’s</w:t>
        <w:br w:type="textWrapping"/>
        <w:t xml:space="preserve">life, should not apply to these two, connected </w:t>
        <w:br w:type="textWrapping"/>
        <w:t xml:space="preserve">as they are with water and blood</w:t>
        <w:br w:type="textWrapping"/>
        <w:t xml:space="preserve">here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tioned, and associated by St. John</w:t>
        <w:br w:type="textWrapping"/>
        <w:t xml:space="preserve">himself with the remarkable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ath</w:t>
        <w:br w:type="textWrapping"/>
        <w:t xml:space="preserve">borne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9) in the perfect</w:t>
        <w:br w:type="textWrapping"/>
        <w:t xml:space="preserve">tense, of an abiding witness in both cases.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these past facts in the Lord’s life</w:t>
        <w:br w:type="textWrapping"/>
        <w:t xml:space="preserve">are this abiding testimony to us, by virtue</w:t>
        <w:br w:type="textWrapping"/>
        <w:t xml:space="preserve">of the permanent application to us of their</w:t>
        <w:br w:type="textWrapping"/>
        <w:t xml:space="preserve">cleansing and atoning power. And thus</w:t>
        <w:br w:type="textWrapping"/>
        <w:t xml:space="preserve">both our canons are satisfied, which certainly </w:t>
        <w:br w:type="textWrapping"/>
        <w:t xml:space="preserve">is not the case in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sterdieck’s</w:t>
        <w:br w:type="textWrapping"/>
        <w:t xml:space="preserve">interpretation, though they were laid</w:t>
        <w:br w:type="textWrapping"/>
        <w:t xml:space="preserve">down by 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 the places where St. John</w:t>
        <w:br w:type="textWrapping"/>
        <w:t xml:space="preserve">uses this Name, it las a solemn meaning,</w:t>
        <w:br w:type="textWrapping"/>
        <w:t xml:space="preserve">and is by the emphasis thus thrown on</w:t>
        <w:br w:type="textWrapping"/>
        <w:t xml:space="preserve">the official designation of our Lord, nearly</w:t>
        <w:br w:type="textWrapping"/>
        <w:t xml:space="preserve">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the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Compare </w:t>
        <w:br w:type="textWrapping"/>
        <w:t xml:space="preserve">John i. 17, xvii. 3: 1 John i. 3, 7,</w:t>
        <w:br w:type="textWrapping"/>
        <w:t xml:space="preserve">ii. 1,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23, iv. 2, v. 20: 2 John 3, 7):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in the water only, but in the water</w:t>
        <w:br w:type="textWrapping"/>
        <w:t xml:space="preserve">and in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sense of the two is there shewn to be</w:t>
        <w:br w:type="textWrapping"/>
        <w:t xml:space="preserve">closely allied, in giving rather the “element </w:t>
        <w:br w:type="textWrapping"/>
        <w:t xml:space="preserve">in which,”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edium through</w:t>
        <w:br w:type="textWrapping"/>
        <w:t xml:space="preserve">which. The definite article before each</w:t>
        <w:br w:type="textWrapping"/>
        <w:t xml:space="preserve">word shews that they are well-known and</w:t>
        <w:br w:type="textWrapping"/>
        <w:t xml:space="preserve">solemn ideas. It is inserted not as matter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giving solemnity.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why has the Apostle added this</w:t>
        <w:br w:type="textWrapping"/>
        <w:t xml:space="preserve">sentence? It has been thought that it is</w:t>
        <w:br w:type="textWrapping"/>
        <w:t xml:space="preserve">to give Christ the preference over Moses,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by water (1 Cor. x. 2), and</w:t>
        <w:br w:type="textWrapping"/>
        <w:t xml:space="preserve">Aaron, who came only by blood (of sacrifice), </w:t>
        <w:br w:type="textWrapping"/>
        <w:t xml:space="preserve">whereas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united both. But</w:t>
        <w:br w:type="textWrapping"/>
        <w:t xml:space="preserve">this is too far-fetched. Another opinion</w:t>
        <w:br w:type="textWrapping"/>
        <w:t xml:space="preserve">again regards the words as directed</w:t>
        <w:br w:type="textWrapping"/>
        <w:t xml:space="preserve">against those who despised the Cross of</w:t>
        <w:br w:type="textWrapping"/>
        <w:t xml:space="preserve">Christ (1 Cor.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23): but a more definite</w:t>
        <w:br w:type="textWrapping"/>
        <w:t xml:space="preserve">explanation than this is required. And</w:t>
        <w:br w:type="textWrapping"/>
        <w:t xml:space="preserve">those can hardly be wrong, who find it in</w:t>
        <w:br w:type="textWrapping"/>
        <w:t xml:space="preserve">such words as those of the Baptist in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 25,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baptize with (in) water, but</w:t>
        <w:br w:type="textWrapping"/>
        <w:t xml:space="preserve">there standeth one among you whom ye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 not:”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the emphatic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repetitions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below, ver. 31,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came baptizing</w:t>
        <w:br w:type="textWrapping"/>
        <w:t xml:space="preserve">with (in) water;”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ver. 38,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</w:t>
        <w:br w:type="textWrapping"/>
        <w:t xml:space="preserve">sent me to baptize with (in) water.”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baptism of Jesus was not one of water</w:t>
        <w:br w:type="textWrapping"/>
        <w:t xml:space="preserve">only, but one of blood,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 the Lamb</w:t>
        <w:br w:type="textWrapping"/>
        <w:t xml:space="preserve">of God”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something more than that</w:t>
        <w:br w:type="textWrapping"/>
        <w:t xml:space="preserve">which follows in the next clause):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Spirit is that which witnesseth, because</w:t>
        <w:br w:type="textWrapping"/>
        <w:t xml:space="preserve">the Spirit is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is, as explained</w:t>
        <w:br w:type="textWrapping"/>
        <w:t xml:space="preserve">by the next verse, the Spirit is an</w:t>
        <w:br w:type="textWrapping"/>
        <w:t xml:space="preserve">additional witness, besides those already</w:t>
        <w:br w:type="textWrapping"/>
        <w:t xml:space="preserve">mentioned to the Messiahship of Jesus,</w:t>
        <w:br w:type="textWrapping"/>
        <w:t xml:space="preserve">and in that, to the eternal life which God</w:t>
        <w:br w:type="textWrapping"/>
        <w:t xml:space="preserve">has given us in Him. Some have thought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“that:” the same</w:t>
        <w:br w:type="textWrapping"/>
        <w:t xml:space="preserve">Greek word signifying hoth these. But</w:t>
        <w:br w:type="textWrapping"/>
        <w:t xml:space="preserve">it is not to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that the Spirit is the</w:t>
        <w:br w:type="textWrapping"/>
        <w:t xml:space="preserve">truth, that the Spirit gives witness: but</w:t>
        <w:br w:type="textWrapping"/>
        <w:t xml:space="preserve">it is the fact that He is the truth, which</w:t>
        <w:br w:type="textWrapping"/>
        <w:t xml:space="preserve">makes Him so weighty a witness; which</w:t>
        <w:br w:type="textWrapping"/>
        <w:t xml:space="preserve">makes the giving of witness so especially</w:t>
        <w:br w:type="textWrapping"/>
        <w:t xml:space="preserve">His office.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various however have been the</w:t>
        <w:br w:type="textWrapping"/>
        <w:t xml:space="preserve">meanings here given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</w:t>
        <w:br w:type="textWrapping"/>
        <w:t xml:space="preserve">view understands, the spirit of our Lord,</w:t>
        <w:br w:type="textWrapping"/>
        <w:t xml:space="preserve">which He when dying commended into</w:t>
        <w:br w:type="textWrapping"/>
        <w:t xml:space="preserve">His Father’s hands, Another, explaining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 and 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two Sacraments of</w:t>
        <w:br w:type="textWrapping"/>
        <w:t xml:space="preserve">Baptism and the Lord’s Supper, sees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connexion with John xx. 22</w:t>
        <w:br w:type="textWrapping"/>
        <w:t xml:space="preserve">ff., a third Sacrament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Others</w:t>
        <w:br w:type="textWrapping"/>
        <w:t xml:space="preserve">regard it as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spiritual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St. John himself. Others again</w:t>
        <w:br w:type="textWrapping"/>
        <w:t xml:space="preserve">regard it as equivalent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  <w:br w:type="textWrapping"/>
        <w:t xml:space="preserve">occasion of the testimony to be the Resurrection, </w:t>
        <w:br w:type="textWrapping"/>
        <w:t xml:space="preserve">when our Lord rose with Divine</w:t>
        <w:br w:type="textWrapping"/>
        <w:t xml:space="preserve">power. The Socinian Commentators interpret </w:t>
        <w:br w:type="textWrapping"/>
        <w:t xml:space="preserve">it of the divine power by which</w:t>
        <w:br w:type="textWrapping"/>
        <w:t xml:space="preserve">Christ wrought His miracles. But this,</w:t>
        <w:br w:type="textWrapping"/>
        <w:t xml:space="preserve">as well as Bede’s interpretation, that the</w:t>
        <w:br w:type="textWrapping"/>
        <w:t xml:space="preserve">Spirit which descended on the Lord at His</w:t>
        <w:br w:type="textWrapping"/>
        <w:t xml:space="preserve">baptism is meant, inasmuch as it testified</w:t>
        <w:br w:type="textWrapping"/>
        <w:t xml:space="preserve">to His being the true Son of God,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ils, in</w:t>
        <w:br w:type="textWrapping"/>
        <w:t xml:space="preserve">giving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abiding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testimony such</w:t>
        <w:br w:type="textWrapping"/>
        <w:t xml:space="preserve">as the context requires. Others again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by it the ministry of the word.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U0rzypi9YjcjIFm7rwEEEQjMVQ==">AMUW2mUKntUlkv9s8tM75STRHa+T/KUHZ/QqyEokmRWRmeBtPsb/7lztnhIhHhq52qMK/PIDVHKwX5sZz/fptLfDibxm4XKsokB8GUbC2KXVPqsWRoI8QCM=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