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 which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 to, but one</w:t>
        <w:br w:type="textWrapping"/>
        <w:t xml:space="preserve">abiding and present. And these verses</w:t>
        <w:br w:type="textWrapping"/>
        <w:t xml:space="preserve">explain to us what that testimony is.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that believeth in the Son of God hath the</w:t>
        <w:br w:type="textWrapping"/>
        <w:t xml:space="preserve">testimony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 spoken of; the testimony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himself. The two</w:t>
        <w:br w:type="textWrapping"/>
        <w:t xml:space="preserve">readings do not differ in sense. The object</w:t>
        <w:br w:type="textWrapping"/>
        <w:t xml:space="preserve">of the divine testimony being, to produce</w:t>
        <w:br w:type="textWrapping"/>
        <w:t xml:space="preserve">faith in Christ, the Apostle takes him in</w:t>
        <w:br w:type="textWrapping"/>
        <w:t xml:space="preserve">whom it has wrought this its effect, one</w:t>
        <w:br w:type="textWrapping"/>
        <w:t xml:space="preserve">who habitually believes in the Son of God,</w:t>
        <w:br w:type="textWrapping"/>
        <w:t xml:space="preserve">and says of such an one that he possesses</w:t>
        <w:br w:type="textWrapping"/>
        <w:t xml:space="preserve">the testimony in himself. What it is, he</w:t>
        <w:br w:type="textWrapping"/>
        <w:t xml:space="preserve">does not plainly say till below, ver. 11.</w:t>
        <w:br w:type="textWrapping"/>
        <w:t xml:space="preserve">But easily enough here we can synthetically </w:t>
        <w:br w:type="textWrapping"/>
        <w:t xml:space="preserve">put together and conjecture of what</w:t>
        <w:br w:type="textWrapping"/>
        <w:t xml:space="preserve">testimony it is that he is speaking: the</w:t>
        <w:br w:type="textWrapping"/>
        <w:t xml:space="preserve">Spirit by whom we are born again to eternal </w:t>
        <w:br w:type="textWrapping"/>
        <w:t xml:space="preserve">Life, the water of baptis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</w:t>
        <w:br w:type="textWrapping"/>
        <w:t xml:space="preserve">the new birth is brought to pass in us by</w:t>
        <w:br w:type="textWrapping"/>
        <w:t xml:space="preserve">the power of the Holy Ghost [John 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Titus iii. 5], the Blood of Jesus by which</w:t>
        <w:br w:type="textWrapping"/>
        <w:t xml:space="preserve">we have reconciliation with God, and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fication </w:t>
        <w:br w:type="textWrapping"/>
        <w:t xml:space="preserve">from our sins [ch. i. 7, ii. 2], and</w:t>
        <w:br w:type="textWrapping"/>
        <w:t xml:space="preserve">eternal life [Jo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vi. 53 ff.],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three</w:t>
        <w:br w:type="textWrapping"/>
        <w:t xml:space="preserve">all contribute to and make up our faith in</w:t>
        <w:br w:type="textWrapping"/>
        <w:t xml:space="preserve">Christ, and so compose that testimony,</w:t>
        <w:br w:type="textWrapping"/>
        <w:t xml:space="preserve">which the Apostle designates in ver. 11 by</w:t>
        <w:br w:type="textWrapping"/>
        <w:t xml:space="preserve">the shorter term which comprehends them</w:t>
        <w:br w:type="textWrapping"/>
        <w:t xml:space="preserve">all):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believeth not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(St. John,</w:t>
        <w:br w:type="textWrapping"/>
        <w:t xml:space="preserve">as so frequently, proceeds to put his proposition </w:t>
        <w:br w:type="textWrapping"/>
        <w:t xml:space="preserve">in the strongest light by bringing</w:t>
        <w:br w:type="textWrapping"/>
        <w:t xml:space="preserve">out the opposite to it.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simply is wholly different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above. That is the resting trust of</w:t>
        <w:br w:type="textWrapping"/>
        <w:t xml:space="preserve">faith: this the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step of giving</w:t>
        <w:br w:type="textWrapping"/>
        <w:t xml:space="preserve">credit to a witness. And thus it is tacitly</w:t>
        <w:br w:type="textWrapping"/>
        <w:t xml:space="preserve">assumed that one who does not believe in</w:t>
        <w:br w:type="textWrapping"/>
        <w:t xml:space="preserve">the Son of God, gives no credit to God</w:t>
        <w:br w:type="textWrapping"/>
        <w:t xml:space="preserve">Himself)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made Him a 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(perfect</w:t>
        <w:br w:type="textWrapping"/>
        <w:t xml:space="preserve">tense, because the state of discredit implies</w:t>
        <w:br w:type="textWrapping"/>
        <w:t xml:space="preserve">a definite rejection still continuing. On</w:t>
        <w:br w:type="textWrapping"/>
        <w:t xml:space="preserve">the expression, see ch. i, 10),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because 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 believed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(here, not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ly, hath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redited, though that was the more</w:t>
        <w:br w:type="textWrapping"/>
        <w:t xml:space="preserve">shameful rejection of God’s word : but now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rejection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refusal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cast himself on God’s testimony)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testimony which God hath testified concerning His Son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 this testimony consists.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(just spoken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this,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(consists in this, namely,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</w:t>
        <w:br w:type="textWrapping"/>
        <w:t xml:space="preserve">given.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is of especial importance</w:t>
        <w:br w:type="textWrapping"/>
        <w:t xml:space="preserve">here, where not the endurance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the fact of the gift having been once</w:t>
        <w:br w:type="textWrapping"/>
        <w:t xml:space="preserve">made, is brought out. The present assurance </w:t>
        <w:br w:type="textWrapping"/>
        <w:t xml:space="preserve">of our possessing this gift follows in</w:t>
        <w:br w:type="textWrapping"/>
        <w:t xml:space="preserve">the next clause, and in ver.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decreed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gave, absolutely)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life,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depend 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the witness, that...,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ranges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clause: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 and this life is,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  <w:br w:type="textWrapping"/>
        <w:t xml:space="preserve">life is in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in Him essentially</w:t>
        <w:br w:type="textWrapping"/>
        <w:t xml:space="preserve">[John i. 4, xi. 25, xiv. 6], bodily [Col.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energetically [2 Tim.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10].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again, as ever in this Epistle, we have to</w:t>
        <w:br w:type="textWrapping"/>
        <w:t xml:space="preserve">guard against the evasive and rationalistic</w:t>
        <w:br w:type="textWrapping"/>
        <w:t xml:space="preserve">interpretations of the Socinians, that “the</w:t>
        <w:br w:type="textWrapping"/>
        <w:t xml:space="preserve">reason of our getting eternal life from God</w:t>
        <w:br w:type="textWrapping"/>
        <w:t xml:space="preserve">is found in Jesus Himself” [so Soci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s]:</w:t>
        <w:br w:type="textWrapping"/>
        <w:t xml:space="preserve">that in is put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is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happens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[so Grotius]).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of the whole 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6: dependent on the lust clause</w:t>
        <w:br w:type="textWrapping"/>
        <w:t xml:space="preserve">of ver. 11, and carrying it on a step further, </w:t>
        <w:br w:type="textWrapping"/>
        <w:t xml:space="preserve">even to the absolute identity as matter</w:t>
        <w:br w:type="textWrapping"/>
        <w:t xml:space="preserve">of possession for the believer, of the Son of</w:t>
        <w:br w:type="textWrapping"/>
        <w:t xml:space="preserve">God, and eternal life.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hath the</w:t>
        <w:br w:type="textWrapping"/>
        <w:t xml:space="preserve">Son, hath the life: he that hath not the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God, the life hath he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</w:t>
        <w:br w:type="textWrapping"/>
        <w:t xml:space="preserve">notice the diction and arrangement, on</w:t>
        <w:br w:type="textWrapping"/>
        <w:t xml:space="preserve">which Bengel has well remarked, “The</w:t>
        <w:br w:type="textWrapping"/>
        <w:t xml:space="preserve">verse has two members: in the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DO4698JB2jpDNiYnDd0xqmWwoQ==">AMUW2mWrBJ+s6otTQAjh1tLdkudrcnDSAj517/kGQbTJBm+Ob9PAA5uS2l3mFHLTO+BY/PPVcyi/UJovmn1re0SqbctRWXa2tr8ff2A7hpsQzI4Nx9k5GgA=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