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is, they who do believe on Him, come</w:t>
        <w:br w:type="textWrapping"/>
        <w:t xml:space="preserve">out and are separated from the world: so</w:t>
        <w:br w:type="textWrapping"/>
        <w:t xml:space="preserve">that our proposition here remains strictly</w:t>
        <w:br w:type="textWrapping"/>
        <w:t xml:space="preserve">true: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negation of faith in</w:t>
        <w:br w:type="textWrapping"/>
        <w:t xml:space="preserve">Him, and as such lies in the wicked one,</w:t>
        <w:br w:type="textWrapping"/>
        <w:t xml:space="preserve">His adversary).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Yet another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that in general, as summing</w:t>
        <w:br w:type="textWrapping"/>
        <w:t xml:space="preserve">up all, the certainty to us of the Son of</w:t>
        <w:br w:type="textWrapping"/>
        <w:t xml:space="preserve">God haying come, and g given us the</w:t>
        <w:br w:type="textWrapping"/>
        <w:t xml:space="preserve">knowledge of God, and of our being in</w:t>
        <w:br w:type="textWrapping"/>
        <w:t xml:space="preserve">Him: and the formal inclusion, in this one</w:t>
        <w:br w:type="textWrapping"/>
        <w:t xml:space="preserve">fact, of knowledge of the true God here,</w:t>
        <w:br w:type="textWrapping"/>
        <w:t xml:space="preserve">and life everlasting hereafter.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(closes off and sums up all, This not</w:t>
        <w:br w:type="textWrapping"/>
        <w:t xml:space="preserve">ng seen, it has been altered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“and,”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there appeared to be no contrast</w:t>
        <w:br w:type="textWrapping"/>
        <w:t xml:space="preserve">with the preceding)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 that the</w:t>
        <w:br w:type="textWrapping"/>
        <w:t xml:space="preserve">Son of God is 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incarnation,</w:t>
        <w:br w:type="textWrapping"/>
        <w:t xml:space="preserve">and work, and abiding presence, of the</w:t>
        <w:br w:type="textWrapping"/>
        <w:t xml:space="preserve">Son of God, is to us a living fact. HE</w:t>
        <w:br w:type="textWrapping"/>
        <w:t xml:space="preserve">IS HERE—all is full of Him—“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Master</w:t>
        <w:br w:type="textWrapping"/>
        <w:t xml:space="preserve">is come, and calleth for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hath</w:t>
        <w:br w:type="textWrapping"/>
        <w:t xml:space="preserve">given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is the Son of God who is to us</w:t>
        <w:br w:type="textWrapping"/>
        <w:t xml:space="preserve">the bestower of this knowledge, see ver.</w:t>
        <w:br w:type="textWrapping"/>
        <w:t xml:space="preserve">13: it is He who is here at the end of the</w:t>
        <w:br w:type="textWrapping"/>
        <w:t xml:space="preserve">Epistle made prominent, as it is He who is</w:t>
        <w:br w:type="textWrapping"/>
        <w:t xml:space="preserve">to us eternal life, and he who hath Him</w:t>
        <w:br w:type="textWrapping"/>
        <w:t xml:space="preserve">hath the Father)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understanding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meant the divinely </w:t>
        <w:br w:type="textWrapping"/>
        <w:t xml:space="preserve">empowered inner sense by which we</w:t>
        <w:br w:type="textWrapping"/>
        <w:t xml:space="preserve">judge of things divine. It is not the wisdom </w:t>
        <w:br w:type="textWrapping"/>
        <w:t xml:space="preserve">or judgment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the faculty</w:t>
        <w:br w:type="textWrapping"/>
        <w:t xml:space="preserve">capable of attaining to it. Compare John</w:t>
        <w:br w:type="textWrapping"/>
        <w:t xml:space="preserve">i. 12, 18, xvii. 2 f., 6 f., 25 f., 2 Cor. iv. 6,</w:t>
        <w:br w:type="textWrapping"/>
        <w:t xml:space="preserve">Eph. i. 18),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we know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we know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must bear a sort of pregnant sense, of a</w:t>
        <w:br w:type="textWrapping"/>
        <w:t xml:space="preserve">purpose accomplished or at least secured)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true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God: compare John</w:t>
        <w:br w:type="textWrapping"/>
        <w:t xml:space="preserve">xvii. 3,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may know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only true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 adjective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not subjective, but objective, in the sense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distinction from every</w:t>
        <w:br w:type="textWrapping"/>
        <w:t xml:space="preserve">fictitious god. And thus the way is prepared </w:t>
        <w:br w:type="textWrapping"/>
        <w:t xml:space="preserve">for the warning against all false</w:t>
        <w:br w:type="textWrapping"/>
        <w:t xml:space="preserve">gods, ver. 21);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(again, as in</w:t>
        <w:br w:type="textWrapping"/>
        <w:t xml:space="preserve">vv. 18, 19, this second member is an independent </w:t>
        <w:br w:type="textWrapping"/>
        <w:t xml:space="preserve">proposition, not dependent on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above, 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lieth 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</w:t>
        <w:br w:type="textWrapping"/>
        <w:t xml:space="preserve">19)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true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God, as 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Son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by virtue of our</w:t>
        <w:br w:type="textWrapping"/>
        <w:t xml:space="preserve">being in His Son Jesus Christ: this second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in apposition with, but explanatory</w:t>
        <w:br w:type="textWrapping"/>
        <w:t xml:space="preserve">of the former).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the Father: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twice spoken of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true God, and eternal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has been great controversy, carried</w:t>
        <w:br w:type="textWrapping"/>
        <w:t xml:space="preserve">on principally from doctrinal interests, respecting </w:t>
        <w:br w:type="textWrapping"/>
        <w:t xml:space="preserve">the reference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whether it is to be understood as above, or</w:t>
        <w:br w:type="textWrapping"/>
        <w:t xml:space="preserve">of His Son Jesus Christ, just mentioned.</w:t>
        <w:br w:type="textWrapping"/>
        <w:t xml:space="preserve">The Fathers who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ngaged against</w:t>
        <w:br w:type="textWrapping"/>
        <w:t xml:space="preserve">Arian error, and most of the orthodox expositors </w:t>
        <w:br w:type="textWrapping"/>
        <w:t xml:space="preserve">since, regarding the passage as a</w:t>
        <w:br w:type="textWrapping"/>
        <w:t xml:space="preserve">precious testimony for the Godhead of the</w:t>
        <w:br w:type="textWrapping"/>
        <w:t xml:space="preserve">Son, have maintained this latter view, rather </w:t>
        <w:br w:type="textWrapping"/>
        <w:t xml:space="preserve">doctrinally than exegetically. One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Socinianizing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expositors, even</w:t>
        <w:br w:type="textWrapping"/>
        <w:t xml:space="preserve">Episcopins, takes this view, not being able</w:t>
        <w:br w:type="textWrapping"/>
        <w:t xml:space="preserve">to bear the caprice and tortuousness of the</w:t>
        <w:br w:type="textWrapping"/>
        <w:t xml:space="preserve">Socinian exegesis. The opposite doctrinal</w:t>
        <w:br w:type="textWrapping"/>
        <w:t xml:space="preserve">interest has led many of those who deny</w:t>
        <w:br w:type="textWrapping"/>
        <w:t xml:space="preserve">this application. To these have succeeded</w:t>
        <w:br w:type="textWrapping"/>
        <w:t xml:space="preserve">another set of expositors with whom not</w:t>
        <w:br w:type="textWrapping"/>
        <w:t xml:space="preserve">doctrinal but exegetical considerations have</w:t>
        <w:br w:type="textWrapping"/>
        <w:t xml:space="preserve">been paramount.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grounds on which the application to</w:t>
        <w:br w:type="textWrapping"/>
        <w:t xml:space="preserve">Christ is rested are mainly the following:</w:t>
        <w:br w:type="textWrapping"/>
        <w:t xml:space="preserve">1) that the pronoun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naturally</w:t>
        <w:br w:type="textWrapping"/>
        <w:t xml:space="preserve">refers to the last-mentioned substantive:</w:t>
        <w:br w:type="textWrapping"/>
        <w:t xml:space="preserve">2)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predicate, more</w:t>
        <w:br w:type="textWrapping"/>
        <w:t xml:space="preserve">naturally belongs to the Son than to the</w:t>
        <w:br w:type="textWrapping"/>
        <w:t xml:space="preserve">Father: 3) that the sentence, if understood </w:t>
        <w:br w:type="textWrapping"/>
        <w:t xml:space="preserve">of God the Father, would be aimless,</w:t>
        <w:br w:type="textWrapping"/>
        <w:t xml:space="preserve">and tautological. But to these it has been</w:t>
        <w:br w:type="textWrapping"/>
        <w:t xml:space="preserve">well and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ecisive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answered by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and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sterdicck, 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more than</w:t>
        <w:br w:type="textWrapping"/>
        <w:t xml:space="preserve">once in St. John belongs not to the nearest,</w:t>
        <w:br w:type="textWrapping"/>
        <w:t xml:space="preserve">substantive, but to the principal one in the</w:t>
        <w:br w:type="textWrapping"/>
        <w:t xml:space="preserve">foregoing sentence,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.g. in ch. ii, 22 and</w:t>
        <w:br w:type="textWrapping"/>
        <w:t xml:space="preserve">in 2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7: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subject of the</w:t>
        <w:br w:type="textWrapping"/>
        <w:t xml:space="preserve">whole here has been the Father, who is the</w:t>
        <w:br w:type="textWrapping"/>
        <w:t xml:space="preserve">true One of the last verse, and the Son</w:t>
        <w:br w:type="textWrapping"/>
        <w:t xml:space="preserve">is referred back to Him as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Son,”</w:t>
        <w:br w:type="textWrapping"/>
        <w:t xml:space="preserve">thereby keeping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primary subject, </w:t>
        <w:br w:type="textWrapping"/>
        <w:t xml:space="preserve">before the mind. 2) that as little</w:t>
        <w:br w:type="textWrapping"/>
        <w:t xml:space="preserve">can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 am actual predicate</w:t>
        <w:br w:type="textWrapping"/>
        <w:t xml:space="preserve">of Christ as of the Father. He is indeed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i, 2, but not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life.”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Mw3CcIhbVkkRSzXO1CfuYMF7Yw==">AMUW2mW0XnOekeHTfBpBI5Q/Xjq4Ti0DvtumwtIiN2P+w4F9yscphHbaHGpRxneZCcv3Oh0jOG2QJ+gAFRvbmdD7ZrCTS7AxLISuUSux1YGu2Tah3B2geds=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