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rule of the walk of all believers, gives a</w:t>
        <w:br w:type="textWrapping"/>
        <w:t xml:space="preserve">good testimony to him who really walks in</w:t>
        <w:br w:type="textWrapping"/>
        <w:t xml:space="preserve">the truth. This witness lies in the accordance </w:t>
        <w:br w:type="textWrapping"/>
        <w:t xml:space="preserve">of his walk with the requirement of</w:t>
        <w:br w:type="textWrapping"/>
        <w:t xml:space="preserve">God’s Truth. It was the mirror in which</w:t>
        <w:br w:type="textWrapping"/>
        <w:t xml:space="preserve">the walk of Demetrius was reflected: and</w:t>
        <w:br w:type="textWrapping"/>
        <w:t xml:space="preserve">his form, thus seen in the mirror of God’s</w:t>
        <w:br w:type="textWrapping"/>
        <w:t xml:space="preserve">Truth, in which the perfect form of Christ</w:t>
        <w:br w:type="textWrapping"/>
        <w:t xml:space="preserve">is held up to us [1 John ii. 6, iii. 3, 16),</w:t>
        <w:br w:type="textWrapping"/>
        <w:t xml:space="preserve">appeared in the likeness of Christ; so that,</w:t>
        <w:br w:type="textWrapping"/>
        <w:t xml:space="preserve">the mirror itself seemed to place in a clear</w:t>
        <w:br w:type="textWrapping"/>
        <w:t xml:space="preserve">light his Christian virtue and uprightness,</w:t>
        <w:br w:type="textWrapping"/>
        <w:t xml:space="preserve">and thus to bear witness to him):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yea, we</w:t>
        <w:br w:type="textWrapping"/>
        <w:t xml:space="preserve">too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(besides the two testimonies foregoing)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bear testimony; and thou knowest that</w:t>
        <w:br w:type="textWrapping"/>
        <w:t xml:space="preserve">our testimony is true.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13. 14.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Close of the Epistle.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had many things to write to thee,</w:t>
        <w:br w:type="textWrapping"/>
        <w:t xml:space="preserve">howbeit I will not to write by means of</w:t>
        <w:br w:type="textWrapping"/>
        <w:t xml:space="preserve">ink and reed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2 John 12):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hope immediately to see thee,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shall speak mouth to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2 John 12).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be to thee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(beautifully </w:t>
        <w:br w:type="textWrapping"/>
        <w:t xml:space="preserve">paraphrased by Lyra, “The internal</w:t>
        <w:br w:type="textWrapping"/>
        <w:t xml:space="preserve">peace of the conscience, the fraternal peace</w:t>
        <w:br w:type="textWrapping"/>
        <w:t xml:space="preserve">of friendship, the supernal peace of glory.”</w:t>
        <w:br w:type="textWrapping"/>
        <w:t xml:space="preserve">Remember our Lord’s legacy, John xiv.</w:t>
        <w:br w:type="textWrapping"/>
        <w:t xml:space="preserve">27, and His greeting after the Resurrection, </w:t>
        <w:br w:type="textWrapping"/>
        <w:t xml:space="preserve">John xx. 19.26).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friends salute</w:t>
        <w:br w:type="textWrapping"/>
        <w:t xml:space="preserve">thee. Salute the friends by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if I</w:t>
        <w:br w:type="textWrapping"/>
        <w:t xml:space="preserve">had written their names here). ‘The reason</w:t>
        <w:br w:type="textWrapping"/>
        <w:t xml:space="preserve">why St. John mentions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 John</w:t>
        <w:br w:type="textWrapping"/>
        <w:t xml:space="preserve">xi. 11, xv. 15, Acts xxvii. 3], and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[1 Cor. xvi. 20, Phil.iv, 21, Eph.</w:t>
        <w:br w:type="textWrapping"/>
        <w:t xml:space="preserve">vi. 23], is probably to be found in the</w:t>
        <w:br w:type="textWrapping"/>
        <w:t xml:space="preserve">personal character of the Epistle, not 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ressed </w:t>
        <w:br w:type="textWrapping"/>
        <w:t xml:space="preserve">as from an Apostle to a church,</w:t>
        <w:br w:type="textWrapping"/>
        <w:t xml:space="preserve">but as from a friend to his friend, in which</w:t>
        <w:br w:type="textWrapping"/>
        <w:t xml:space="preserve">mutual friends on both sides would be the</w:t>
        <w:br w:type="textWrapping"/>
        <w:t xml:space="preserve">senders and receivers of salutation.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k8oNT7iKYWGqjKSMfq24/434Qw==">AMUW2mWTnvXl7e8Yf7qjWNoqJGZlNyrMvTVkQ7h1R7zwkuCj+5BWVb9n0+nSvQoM5Y/yTBM/lDv6AWiMNLazwGiJXZqZFYxGPGFcrjsZaYe2tA1HP9UgT6g=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