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mean, “perverting the grace</w:t>
        <w:br w:type="textWrapping"/>
        <w:t xml:space="preserve">of our God in the direction of, for the purposes </w:t>
        <w:br w:type="textWrapping"/>
        <w:t xml:space="preserve">of lasciviousness:” but the meaning</w:t>
        <w:br w:type="textWrapping"/>
        <w:t xml:space="preserve">of the verb used is simply to change, not</w:t>
        <w:br w:type="textWrapping"/>
        <w:t xml:space="preserve">to pervert: and we therefore must understand, </w:t>
        <w:br w:type="textWrapping"/>
        <w:t xml:space="preserve">as above, that they made the state</w:t>
        <w:br w:type="textWrapping"/>
        <w:t xml:space="preserve">of grace and Christian liberty into a state</w:t>
        <w:br w:type="textWrapping"/>
        <w:t xml:space="preserve">of [moral] licence and wantonness),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denying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2 Pet. ii, 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only Master,</w:t>
        <w:br w:type="textWrapping"/>
        <w:t xml:space="preserve">and our Lord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2 Pet. ii. 1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used of Christ: which circumstance </w:t>
        <w:br w:type="textWrapping"/>
        <w:t xml:space="preserve">might tempt us to refer it to Christ</w:t>
        <w:br w:type="textWrapping"/>
        <w:t xml:space="preserve">here also. But probability seems to weigh</w:t>
        <w:br w:type="textWrapping"/>
        <w:t xml:space="preserve">on the other side. In every other place</w:t>
        <w:br w:type="textWrapping"/>
        <w:t xml:space="preserve">[Luke ii, 29, Acts iv. 24, Rev. vi. 10, Jer.</w:t>
        <w:br w:type="textWrapping"/>
        <w:t xml:space="preserve">iv. 10 in the Septuagint translation]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is used of God: 2) the addition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seems to bind this meaning to it here:</w:t>
        <w:br w:type="textWrapping"/>
        <w:t xml:space="preserve">3) the denial of God by disobeying His</w:t>
        <w:br w:type="textWrapping"/>
        <w:t xml:space="preserve">law is the explanatory resumption of the</w:t>
        <w:br w:type="textWrapping"/>
        <w:t xml:space="preserve">last clause: 4) Master and Lord are</w:t>
        <w:br w:type="textWrapping"/>
        <w:t xml:space="preserve">hardly distinguishable, if both applied to</w:t>
        <w:br w:type="textWrapping"/>
        <w:t xml:space="preserve">Christ).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5–7.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Examples of Divine vengeance.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example: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unbelieving</w:t>
        <w:br w:type="textWrapping"/>
        <w:t xml:space="preserve">Israel in the wilderness. See Heb. iii. 16</w:t>
        <w:br w:type="textWrapping"/>
        <w:t xml:space="preserve">–iv. 5.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(solemn contrast to the conduct</w:t>
        <w:br w:type="textWrapping"/>
        <w:t xml:space="preserve">just mentioned)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wish to remind</w:t>
        <w:br w:type="textWrapping"/>
        <w:t xml:space="preserve">you, knowing as ye 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(better here than</w:t>
        <w:br w:type="textWrapping"/>
        <w:t xml:space="preserve">“although ye know,” on account of the</w:t>
        <w:br w:type="textWrapping"/>
        <w:t xml:space="preserve">term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once for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 follows. The</w:t>
        <w:br w:type="textWrapping"/>
        <w:t xml:space="preserve">A. V. is altogether wrong)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once for all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having once for all received the</w:t>
        <w:br w:type="textWrapping"/>
        <w:t xml:space="preserve">Knowledge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(all that refers</w:t>
        <w:br w:type="textWrapping"/>
        <w:t xml:space="preserve">to that of which I am speaking: the clause</w:t>
        <w:br w:type="textWrapping"/>
        <w:t xml:space="preserve">carries with it a latent admonition, to</w:t>
        <w:br w:type="textWrapping"/>
        <w:t xml:space="preserve">apply other examples for yourselves),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(critical principles seem to require</w:t>
        <w:br w:type="textWrapping"/>
        <w:t xml:space="preserve">this remarkable reading. It is not entirely</w:t>
        <w:br w:type="textWrapping"/>
        <w:t xml:space="preserve">precedented by 1 Cor. x. 4: for there St.</w:t>
        <w:br w:type="textWrapping"/>
        <w:t xml:space="preserve">Paul uses not the personal human name,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which there is no such</w:t>
        <w:br w:type="textWrapping"/>
        <w:t xml:space="preserve">difficulty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only account to be given</w:t>
        <w:br w:type="textWrapping"/>
        <w:t xml:space="preserve">seems, that, the Person designated by the</w:t>
        <w:br w:type="textWrapping"/>
        <w:t xml:space="preserve">two names being the same, they became</w:t>
        <w:br w:type="textWrapping"/>
        <w:t xml:space="preserve">sometimes convertibly used in popular exhortation),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saved 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</w:t>
        <w:br w:type="textWrapping"/>
        <w:t xml:space="preserve">the fact, see Exod.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19, xxxiii. 20.23,</w:t>
        <w:br w:type="textWrapping"/>
        <w:t xml:space="preserve">xxxii. 2,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9, in which last place</w:t>
        <w:br w:type="textWrapping"/>
        <w:t xml:space="preserve">however the Septuagint version has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</w:t>
        <w:br w:type="textWrapping"/>
        <w:t xml:space="preserve">of all their affliction not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ambassador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  <w:br w:type="textWrapping"/>
        <w:t xml:space="preserve">nor yet an angel, but he himself named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land of Egypt, secondly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afterward,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it indicates </w:t>
        <w:br w:type="textWrapping"/>
        <w:t xml:space="preserve">a second deed of the Lord, His first-mentioned </w:t>
        <w:br w:type="textWrapping"/>
        <w:t xml:space="preserve">having been the deliverance out</w:t>
        <w:br w:type="textWrapping"/>
        <w:t xml:space="preserve">of Egypt)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destroyed them that believed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by forbidding their entrance into</w:t>
        <w:br w:type="textWrapping"/>
        <w:t xml:space="preserve">the land of promise [see Heb. iii. 18], and</w:t>
        <w:br w:type="textWrapping"/>
        <w:t xml:space="preserve">slaying them in the wilderness. This example </w:t>
        <w:br w:type="textWrapping"/>
        <w:t xml:space="preserve">is not mentioned in 2 Pet. ii., but</w:t>
        <w:br w:type="textWrapping"/>
        <w:t xml:space="preserve">instead of it, the judgment of the flood).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example: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rebel angels.</w:t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connexion with</w:t>
        <w:br w:type="textWrapping"/>
        <w:t xml:space="preserve">the foregoing is very close)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angels, thos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which kept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probably indefinite,</w:t>
        <w:br w:type="textWrapping"/>
        <w:t xml:space="preserve">and then what follows designates</w:t>
        <w:br w:type="textWrapping"/>
        <w:t xml:space="preserve">those angels who are meant)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</w:t>
        <w:br w:type="textWrapping"/>
        <w:t xml:space="preserve">dignity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interpret as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  <w:br w:type="textWrapping"/>
        <w:t xml:space="preserve">estate,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“original condition;” some again,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government which was over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viz. that of God. But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angels</w:t>
        <w:br w:type="textWrapping"/>
        <w:t xml:space="preserve">are often in the New Test.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governments,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they also were</w:t>
        <w:br w:type="textWrapping"/>
        <w:t xml:space="preserve">among the Jews, and that such meaning</w:t>
        <w:br w:type="textWrapping"/>
        <w:t xml:space="preserve">answers best to the parallel clause which</w:t>
        <w:br w:type="textWrapping"/>
        <w:t xml:space="preserve">follows, there can be little doubt that the</w:t>
        <w:br w:type="textWrapping"/>
        <w:t xml:space="preserve">rendering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government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right. The fact alluded to is</w:t>
        <w:br w:type="textWrapping"/>
        <w:t xml:space="preserve">probably that which is obscurely indicated</w:t>
        <w:br w:type="textWrapping"/>
        <w:t xml:space="preserve">in Gen. vi. 2. See Introduction),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left</w:t>
        <w:br w:type="textWrapping"/>
        <w:t xml:space="preserve">their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habitation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hea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ven),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xsleCxbMfa6Xazgx/FO5MQmcw==">CgMxLjA4AHIhMVlQbmpqS3RCQUFiVlJVaGlYWHZ4NUxsTWczSk1pTWdP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