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and power, before all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</w:t>
        <w:br w:type="textWrapping"/>
        <w:t xml:space="preserve">the whole age, i.e.,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world. Thus</w:t>
        <w:br w:type="textWrapping"/>
        <w:t xml:space="preserve">we have eternity past),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(thus,</w:t>
        <w:br w:type="textWrapping"/>
        <w:t xml:space="preserve">time present), and to all the ages (thus,</w:t>
        <w:br w:type="textWrapping"/>
        <w:t xml:space="preserve">eternity future)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ordinary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doxology: compare Rom.</w:t>
        <w:br w:type="textWrapping"/>
        <w:t xml:space="preserve">i. 15, 1 Pet. iv. 11 [and 2 Pet. iii, 18,</w:t>
        <w:br w:type="textWrapping"/>
        <w:t xml:space="preserve">where, as here, it stands at the end of the</w:t>
        <w:br w:type="textWrapping"/>
        <w:t xml:space="preserve">Epistle]).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TOeNG7W4SGsQpDgoS6kBfL0/5A==">AMUW2mWxAzTTUuNQ10nYwKVi+AKtoxmUfl9HzwXIz2g2D36oao/i0TJWy0Gbrda3ug4CJF5qfRJ1uKWQGgaZM9rRpuXRqkjcrxx97SYYbCZetDtlvFvZ130=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