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longs doubtless in part to the individual</w:t>
        <w:br w:type="textWrapping"/>
        <w:t xml:space="preserve">character of the two Apostles, but is besides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strong testimony that the John who</w:t>
        <w:br w:type="textWrapping"/>
        <w:t xml:space="preserve">here writes needed no such designation in</w:t>
        <w:br w:type="textWrapping"/>
        <w:t xml:space="preserve">the eyes of those to whom he was writing.</w:t>
        <w:br w:type="textWrapping"/>
        <w:t xml:space="preserve">See this, and other evidence as to the</w:t>
        <w:br w:type="textWrapping"/>
        <w:t xml:space="preserve">authorship, urged in the Introduction.</w:t>
        <w:br w:type="textWrapping"/>
        <w:t xml:space="preserve">See on the seven churches below, ver. 11.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always in the New Test., is the</w:t>
        <w:br w:type="textWrapping"/>
        <w:t xml:space="preserve">proconsular province so called. It consisted</w:t>
        <w:br w:type="textWrapping"/>
        <w:t xml:space="preserve">of Phrygia, Mysia, Caria, and Lydia: under</w:t>
        <w:br w:type="textWrapping"/>
        <w:t xml:space="preserve">Mysi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Lydia including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onia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olia, and the neighbouring islands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gean. It was called proconsular,</w:t>
        <w:br w:type="textWrapping"/>
        <w:t xml:space="preserve">because it was governed by one of consular</w:t>
        <w:br w:type="textWrapping"/>
        <w:t xml:space="preserve">rank, under the title of proconsul):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Grace</w:t>
        <w:br w:type="textWrapping"/>
        <w:t xml:space="preserve">be to you and 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St. Paul in all</w:t>
        <w:br w:type="textWrapping"/>
        <w:t xml:space="preserve">his Epistles except the three pastoral)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Him who is and who was and who</w:t>
        <w:br w:type="textWrapping"/>
        <w:t xml:space="preserve">is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 paraphrase of the unspeakabl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Jehovah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resembling the paraphrase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 I 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Exod.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14, for which the Jerusalem Targum</w:t>
        <w:br w:type="textWrapping"/>
        <w:t xml:space="preserve">has, as here, “H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AND IS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E:” as has the Targum of</w:t>
        <w:br w:type="textWrapping"/>
        <w:t xml:space="preserve">Jonathan in Deut. xxxii. 39. It follows</w:t>
        <w:br w:type="textWrapping"/>
        <w:t xml:space="preserve">from what is remarked above, that the</w:t>
        <w:br w:type="textWrapping"/>
        <w:t xml:space="preserve">meaning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here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pressed as referring to any future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By doing so we should confuse the meaning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compound appellation, which</w:t>
        <w:br w:type="textWrapping"/>
        <w:t xml:space="preserve">evidently is all to be applied to the</w:t>
        <w:br w:type="textWrapping"/>
        <w:t xml:space="preserve">Father. By some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which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sup-</w:t>
        <w:br w:type="textWrapping"/>
        <w:t xml:space="preserve">posed to mean the Father,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Son 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is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Spirit,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ever proceeding forth and descending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Church),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from the</w:t>
        <w:br w:type="textWrapping"/>
        <w:t xml:space="preserve">seven spirits which [are] before His</w:t>
        <w:br w:type="textWrapping"/>
        <w:t xml:space="preserve">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(Audreas takes these for the seven</w:t>
        <w:br w:type="textWrapping"/>
        <w:t xml:space="preserve">principal angels [ch.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2]: so also many</w:t>
        <w:br w:type="textWrapping"/>
        <w:t xml:space="preserve">other Commentators. But this is highly</w:t>
        <w:br w:type="textWrapping"/>
        <w:t xml:space="preserve">improbable, as these angels are never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as surely mere</w:t>
        <w:br w:type="textWrapping"/>
        <w:t xml:space="preserve">creatures, however exalted, would not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equalized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Father and the Son</w:t>
        <w:br w:type="textWrapping"/>
        <w:t xml:space="preserve">as fountains of grace. The common view</w:t>
        <w:br w:type="textWrapping"/>
        <w:t xml:space="preserve">is doubtless right, which regards the seven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energies of the Holy Spirit: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“Thou the anointing Spirit art, Who dost</w:t>
        <w:br w:type="textWrapping"/>
        <w:t xml:space="preserve">thy sevenfold gifts impart:” but rather</w:t>
        <w:br w:type="textWrapping"/>
        <w:t xml:space="preserve">perhaps to be regarded as expressing</w:t>
        <w:br w:type="textWrapping"/>
        <w:t xml:space="preserve">His plenitude and perfection, than to be</w:t>
        <w:br w:type="textWrapping"/>
        <w:t xml:space="preserve">separately assigned as [but query?] in the</w:t>
        <w:br w:type="textWrapping"/>
        <w:t xml:space="preserve">lines following of the hymn Veni Creator</w:t>
        <w:br w:type="textWrapping"/>
        <w:t xml:space="preserve">Spiritus. The key to this expression, which</w:t>
        <w:br w:type="textWrapping"/>
        <w:t xml:space="preserve">is an anticipation of the visions afterwards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related, is ch. v. 6, where see notes:</w:t>
        <w:br w:type="textWrapping"/>
        <w:t xml:space="preserve">as also on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iv. 5.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</w:t>
        <w:br w:type="textWrapping"/>
        <w:t xml:space="preserve">hardly be entirely without allusion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sevenfold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imagery throughout. The number seven</w:t>
        <w:br w:type="textWrapping"/>
        <w:t xml:space="preserve">denotes completeness, and was much noted</w:t>
        <w:br w:type="textWrapping"/>
        <w:t xml:space="preserve">by the Jewish Commentators as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urring</w:t>
        <w:br w:type="textWrapping"/>
        <w:t xml:space="preserve">in the Old Test. The seven spirits betoken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completeness and universality</w:t>
        <w:br w:type="textWrapping"/>
        <w:t xml:space="preserve">of working of God’s Holy Spirit, as the</w:t>
        <w:br w:type="textWrapping"/>
        <w:t xml:space="preserve">seven churches typify and indicate the</w:t>
        <w:br w:type="textWrapping"/>
        <w:t xml:space="preserve">whole church. The reference to Isa. xi.</w:t>
        <w:br w:type="textWrapping"/>
        <w:t xml:space="preserve">2 is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amely made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there being</w:t>
        <w:br w:type="textWrapping"/>
        <w:t xml:space="preserve">there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energies of the Spirit mentioned.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to Zech. iv. 2, 10 is more</w:t>
        <w:br w:type="textWrapping"/>
        <w:t xml:space="preserve">to the point: see notes as above), {5}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we have before</w:t>
        <w:br w:type="textWrapping"/>
        <w:t xml:space="preserve">had the Father and the Holy Spirit mentioned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sources of grace and peace,</w:t>
        <w:br w:type="textWrapping"/>
        <w:t xml:space="preserve">so now the Son, coming last, on account</w:t>
        <w:br w:type="textWrapping"/>
        <w:t xml:space="preserve">of that which is to follow respecting Him,</w:t>
        <w:br w:type="textWrapping"/>
        <w:t xml:space="preserve">which has respect to His threefold office</w:t>
        <w:br w:type="textWrapping"/>
        <w:t xml:space="preserve">of Prophet, King, and Priest: see however</w:t>
        <w:br w:type="textWrapping"/>
        <w:t xml:space="preserve">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faithful witness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John</w:t>
        <w:br w:type="textWrapping"/>
        <w:t xml:space="preserve">xviii,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this end came I into the</w:t>
        <w:br w:type="textWrapping"/>
        <w:t xml:space="preserve">world, that I should bear witness to the</w:t>
        <w:br w:type="textWrapping"/>
        <w:t xml:space="preserve">truth.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It is to the general mission of the</w:t>
        <w:br w:type="textWrapping"/>
        <w:t xml:space="preserve">Redeemer to bear witness to the truth,</w:t>
        <w:br w:type="textWrapping"/>
        <w:t xml:space="preserve">and not merely to the apocalyptic portion</w:t>
        <w:br w:type="textWrapping"/>
        <w:t xml:space="preserve">of His testimony which is to follow, that</w:t>
        <w:br w:type="textWrapping"/>
        <w:t xml:space="preserve">this title must be referred. This book</w:t>
        <w:br w:type="textWrapping"/>
        <w:t xml:space="preserve">[ver. 2]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the testimony of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But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title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reaches far wider. Embracing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it does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testimony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before Pontins</w:t>
        <w:br w:type="textWrapping"/>
        <w:t xml:space="preserve">Pilate, and indeed that of His whole life</w:t>
        <w:br w:type="textWrapping"/>
        <w:t xml:space="preserve">of witnessing to the truth, we can perhaps</w:t>
        <w:br w:type="textWrapping"/>
        <w:t xml:space="preserve">hardly say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it marks out his prop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office with sufficient distinctness for us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 it indicated here),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first-born of</w:t>
        <w:br w:type="textWrapping"/>
        <w:t xml:space="preserve">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(death is regarded as the womb</w:t>
        <w:br w:type="textWrapping"/>
        <w:t xml:space="preserve">of the earth, from which the resurrection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Sz+izFQwsTT2QLA1wK3/P7MGAw==">CgMxLjA4AHIhMXkzU0ZId09RY2p2U2hSaW52Q08wWkZ5ZWJJMm9JV1Rj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