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sea, appealing to ch. xvii. 1 and xiii.1;</w:t>
        <w:br w:type="textWrapping"/>
        <w:t xml:space="preserve">but,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remarks, there seems</w:t>
        <w:br w:type="textWrapping"/>
        <w:t xml:space="preserve">to be no such allusion here, but only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voice as resembling the rushing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many waters. So Dan. x.6; Ezek.</w:t>
        <w:br w:type="textWrapping"/>
        <w:t xml:space="preserve">xliii. 2, where the same expression is found,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24, where the sound of the wings of</w:t>
        <w:br w:type="textWrapping"/>
        <w:t xml:space="preserve">the creatures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the noise of great</w:t>
        <w:br w:type="textWrapping"/>
        <w:t xml:space="preserve">water”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And 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(St. John</w:t>
        <w:br w:type="textWrapping"/>
        <w:t xml:space="preserve">takes up the description from time to time</w:t>
        <w:br w:type="textWrapping"/>
        <w:t xml:space="preserve">irrespective of the construction, as if with</w:t>
        <w:br w:type="textWrapping"/>
        <w:t xml:space="preserve">separate strokes of the pencil)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right</w:t>
        <w:br w:type="textWrapping"/>
        <w:t xml:space="preserve">hand seven 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right hand,</w:t>
        <w:br w:type="textWrapping"/>
        <w:t xml:space="preserve">as a number of jewelled rings,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right hand, as a wreath or garland, held in</w:t>
        <w:br w:type="textWrapping"/>
        <w:t xml:space="preserve">it. De Wette well remarks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the more natural rendering, is also required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symbolism. If the seven</w:t>
        <w:br w:type="textWrapping"/>
        <w:t xml:space="preserve">churches which the seven stars symbolize,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Lord’s hand as rings,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to be serving (adorning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?)</w:t>
        <w:br w:type="textWrapping"/>
        <w:t xml:space="preserve">Him, and not to be the objects of his action: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now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holds them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hand, He appears as their Guardian, their</w:t>
        <w:br w:type="textWrapping"/>
        <w:t xml:space="preserve">Provider, their Nourisher: and, we may</w:t>
        <w:br w:type="textWrapping"/>
        <w:t xml:space="preserve">add, their Possessor, who brings them out</w:t>
        <w:br w:type="textWrapping"/>
        <w:t xml:space="preserve">and puts them forth to be seen when He</w:t>
        <w:br w:type="textWrapping"/>
        <w:t xml:space="preserve">pleases. His universal Church would</w:t>
        <w:br w:type="textWrapping"/>
        <w:t xml:space="preserve">hardly be thus represented, but only a</w:t>
        <w:br w:type="textWrapping"/>
        <w:t xml:space="preserve">portion of it which it pleases Him to take</w:t>
        <w:br w:type="textWrapping"/>
        <w:t xml:space="preserve">in his hand and hold forth as representing</w:t>
        <w:br w:type="textWrapping"/>
        <w:t xml:space="preserve">the rest):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out of his mouth a two-</w:t>
        <w:br w:type="textWrapping"/>
        <w:t xml:space="preserve">edged sharp sword going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</w:t>
        <w:br w:type="textWrapping"/>
        <w:t xml:space="preserve">Isa.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4, xl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ix, 2: also our ch. ii. 16, and</w:t>
        <w:br w:type="textWrapping"/>
        <w:t xml:space="preserve">Wisd. xviii. 15. The same figure occurs</w:t>
        <w:br w:type="textWrapping"/>
        <w:t xml:space="preserve">with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lv. 21, lvii. 4,</w:t>
        <w:br w:type="textWrapping"/>
        <w:t xml:space="preserve">lix. 7: and examples of it are given from</w:t>
        <w:br w:type="textWrapping"/>
        <w:t xml:space="preserve">the Rabbinical writings. The thing signified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perhaps be as in 2 Thess. ii. 8,</w:t>
        <w:br w:type="textWrapping"/>
        <w:t xml:space="preserve">and in ch. xix. 21; but clearly we must not</w:t>
        <w:br w:type="textWrapping"/>
        <w:t xml:space="preserve">exclude the attributes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12, Eph.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all the</w:t>
        <w:br w:type="textWrapping"/>
        <w:t xml:space="preserve">more, inasmuch as 1) here the Lord is represented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 taking vengeance on 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enemies, but as speaking with his own,</w:t>
        <w:br w:type="textWrapping"/>
        <w:t xml:space="preserve">both in the way of comforting and of</w:t>
        <w:br w:type="textWrapping"/>
        <w:t xml:space="preserve">threatening: and 2) in ch. xix. 21, where</w:t>
        <w:br w:type="textWrapping"/>
        <w:t xml:space="preserve">this very sword is again alluded to as slaying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Lord’s enemies, His title as sitting</w:t>
        <w:br w:type="textWrapping"/>
        <w:t xml:space="preserve">upon the horse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word of 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his countenance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Had this been so, how should the Apostle</w:t>
        <w:br w:type="textWrapping"/>
        <w:t xml:space="preserve">have noted the details just mentioned?</w:t>
        <w:br w:type="textWrapping"/>
        <w:t xml:space="preserve">for the whole figure of our Lord would</w:t>
        <w:br w:type="textWrapping"/>
        <w:t xml:space="preserve">have been too dazzling for him to contemplate.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natural that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eyes, and that which proceeded from</w:t>
        <w:br w:type="textWrapping"/>
        <w:t xml:space="preserve">the mouth, he should give the general</w:t>
        <w:br w:type="textWrapping"/>
        <w:t xml:space="preserve">effect of the countenance)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 sun</w:t>
        <w:br w:type="textWrapping"/>
        <w:t xml:space="preserve">shineth in his strength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Judges v. 31:</w:t>
        <w:br w:type="textWrapping"/>
        <w:t xml:space="preserve">—that is, when unclo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 and in full</w:t>
        <w:br w:type="textWrapping"/>
        <w:t xml:space="preserve">power: not necessarily at midday, but at</w:t>
        <w:br w:type="textWrapping"/>
        <w:t xml:space="preserve">any time. The construction is again</w:t>
        <w:br w:type="textWrapping"/>
        <w:t xml:space="preserve">broken: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 the sun shining”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</w:t>
        <w:br w:type="textWrapping"/>
        <w:t xml:space="preserve">the regular connexion).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 I saw Him, I fell at his feet as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effect of the divine appearance: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Exod. xxxiii. 20; Job xlii. 6; Isa. vi.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28; Dan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viii. 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ff., x. 7 ff. There</w:t>
        <w:br w:type="textWrapping"/>
        <w:t xml:space="preserve">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discrepancy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bodily action with</w:t>
        <w:br w:type="textWrapping"/>
        <w:t xml:space="preserve">the spiritual nature of the vision, as De</w:t>
        <w:br w:type="textWrapping"/>
        <w:t xml:space="preserve">Wette thinks, either here or in the places</w:t>
        <w:br w:type="textWrapping"/>
        <w:t xml:space="preserve">where similar physical effects are described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ch. v. 4, xix. 10,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 [Dan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vii. 15].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well remarks in reply,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supersede</w:t>
        <w:br w:type="textWrapping"/>
        <w:t xml:space="preserve">existence in the body. Just as dreamers</w:t>
        <w:br w:type="textWrapping"/>
        <w:t xml:space="preserve">express their bodily feelings by physical</w:t>
        <w:br w:type="textWrapping"/>
        <w:t xml:space="preserve">acts, e.g. by starting or weeping, so might</w:t>
        <w:br w:type="textWrapping"/>
        <w:t xml:space="preserve">St. John while 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ecstasy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Acts ix.</w:t>
        <w:br w:type="textWrapping"/>
        <w:t xml:space="preserve">3).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placed his right hand upon</w:t>
        <w:br w:type="textWrapping"/>
        <w:t xml:space="preserve">me, saying, Fear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Dan. x. 12,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</w:t>
        <w:br w:type="textWrapping"/>
        <w:t xml:space="preserve">i. 13, 30, ii. 10, Matt. xvii. 7, Mark xvi. 6.</w:t>
        <w:br w:type="textWrapping"/>
        <w:t xml:space="preserve">These places, and the whole character of</w:t>
        <w:br w:type="textWrapping"/>
        <w:t xml:space="preserve">our Lord’s words, shew that the Apostle’s</w:t>
        <w:br w:type="textWrapping"/>
        <w:t xml:space="preserve">falling down as dead was purely from fear,</w:t>
        <w:br w:type="textWrapping"/>
        <w:t xml:space="preserve">not, as Ebrard imagines, as an expression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ecstatic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am the first and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8T18:05:58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Bkcrj0Nz53PTfIQ1D7xd+yfVgg==">CgMxLjAaJwoBMBIiCiAIBCocCgtBQUFBXzhXWHhWURAIGgtBQUFBXzhXWHhWUSLoAQoLQUFBQV84V1h4VlEStgEKC0FBQUFfOFdYeFZREgtBQUFBXzhXWHhWURoVCgl0ZXh0L2h0bWwSCHRhZyAxNy5dIhYKCnRleHQvcGxhaW4SCHRhZyAxNy5dKhsiFTExMTIzMTg3ODA4MjE1MDQ3NDQwMygAOAAwhI/zgLsxOISP84C7MUoQCgp0ZXh0L3BsYWluEgIxN1oMYmJ1NTM3aDd0Zmd1cgIgAHgAmgEGCAAQABgAqgEKEgh0YWcgMTcuXbABALgBABiEj/OAuzEghI/zgLsxMABCEGtpeC5mNzRlanBtcDVham84AHIhMWJSVGw1NjhIWk8zR0RjXy0wSUNzZkV0eTVLSWVET0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